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39203F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36B63413" w14:textId="77777777" w:rsidR="00F5694F" w:rsidRDefault="00F5694F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  <w:bookmarkStart w:id="0" w:name="_GoBack"/>
          <w:bookmarkEnd w:id="0"/>
          <w:p w14:paraId="2E18C1F9" w14:textId="2E3FB728" w:rsidR="00A90A80" w:rsidRPr="00F2266A" w:rsidRDefault="00A90A80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39203F" w14:paraId="299EB2E2" w14:textId="77777777">
        <w:tc>
          <w:tcPr>
            <w:tcW w:w="1063" w:type="dxa"/>
          </w:tcPr>
          <w:p w14:paraId="638E7665" w14:textId="77777777" w:rsidR="00253814" w:rsidRDefault="0039203F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46.1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39203F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3pt;height:12.6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1EA7D3AB" w:rsidR="00253814" w:rsidRPr="00F5694F" w:rsidRDefault="00253814" w:rsidP="00253814">
            <w:pPr>
              <w:pStyle w:val="Empfaenger"/>
              <w:rPr>
                <w:bCs/>
                <w:sz w:val="22"/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Tagesordnung für </w:t>
            </w:r>
            <w:r w:rsidR="00F5694F" w:rsidRPr="00F5694F">
              <w:rPr>
                <w:bCs/>
                <w:sz w:val="22"/>
                <w:lang w:val="it-IT"/>
              </w:rPr>
              <w:t>Montag</w:t>
            </w:r>
            <w:r w:rsidR="001511E1" w:rsidRPr="00F5694F">
              <w:rPr>
                <w:bCs/>
                <w:sz w:val="22"/>
                <w:lang w:val="it-IT"/>
              </w:rPr>
              <w:t xml:space="preserve">, </w:t>
            </w:r>
            <w:r w:rsidR="00F5694F" w:rsidRPr="00F5694F">
              <w:rPr>
                <w:bCs/>
                <w:sz w:val="22"/>
                <w:lang w:val="it-IT"/>
              </w:rPr>
              <w:t>5. März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  <w:p w14:paraId="7373F54E" w14:textId="3D4D395A" w:rsidR="00253814" w:rsidRPr="00F5694F" w:rsidRDefault="00D76944" w:rsidP="00253814">
            <w:pPr>
              <w:pStyle w:val="Empfaenger"/>
              <w:rPr>
                <w:bCs/>
                <w:sz w:val="22"/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>Ord</w:t>
            </w:r>
            <w:r w:rsidR="00F5694F" w:rsidRPr="00F5694F">
              <w:rPr>
                <w:bCs/>
                <w:sz w:val="22"/>
                <w:lang w:val="it-IT"/>
              </w:rPr>
              <w:t>re du jour du lundi 5 mars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  <w:p w14:paraId="4296AE04" w14:textId="2BEC7863" w:rsidR="007F77F4" w:rsidRPr="00F5694F" w:rsidRDefault="00A81EBE" w:rsidP="00F5694F">
            <w:pPr>
              <w:pStyle w:val="Empfaenger"/>
              <w:rPr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Ordine del giorno di </w:t>
            </w:r>
            <w:r w:rsidR="00F5694F" w:rsidRPr="00F5694F">
              <w:rPr>
                <w:bCs/>
                <w:sz w:val="22"/>
                <w:lang w:val="it-IT"/>
              </w:rPr>
              <w:t>lune</w:t>
            </w:r>
            <w:r w:rsidR="00EC7C04" w:rsidRPr="00F5694F">
              <w:rPr>
                <w:bCs/>
                <w:sz w:val="22"/>
                <w:lang w:val="it-IT"/>
              </w:rPr>
              <w:t xml:space="preserve">dì </w:t>
            </w:r>
            <w:r w:rsidR="00F5694F" w:rsidRPr="00F5694F">
              <w:rPr>
                <w:bCs/>
                <w:sz w:val="22"/>
                <w:lang w:val="it-IT"/>
              </w:rPr>
              <w:t>5 marzo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</w:tc>
      </w:tr>
    </w:tbl>
    <w:p w14:paraId="4841635D" w14:textId="77777777" w:rsidR="00F037C8" w:rsidRPr="00F5694F" w:rsidRDefault="00F037C8" w:rsidP="00F037C8">
      <w:pPr>
        <w:rPr>
          <w:lang w:val="it-IT"/>
        </w:rPr>
      </w:pPr>
    </w:p>
    <w:p w14:paraId="0F8DC9C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39203F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1315D805" w:rsidR="00253814" w:rsidRPr="008B21D7" w:rsidRDefault="00F5694F" w:rsidP="00253814">
      <w:pPr>
        <w:pStyle w:val="WocheCharCharCharCharChar"/>
        <w:spacing w:after="0" w:line="360" w:lineRule="auto"/>
        <w:rPr>
          <w:rFonts w:cs="Arial"/>
          <w:spacing w:val="50"/>
          <w:szCs w:val="18"/>
          <w:lang w:val="it-IT"/>
        </w:rPr>
      </w:pPr>
      <w:r w:rsidRPr="00F5694F">
        <w:rPr>
          <w:rFonts w:cs="Arial"/>
          <w:b w:val="0"/>
          <w:spacing w:val="50"/>
          <w:szCs w:val="18"/>
          <w:lang w:val="it-IT"/>
        </w:rPr>
        <w:t>4</w:t>
      </w:r>
      <w:r w:rsidR="00253814" w:rsidRPr="00F5694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15</w:t>
      </w:r>
      <w:r w:rsidR="001511E1" w:rsidRPr="00F5694F">
        <w:rPr>
          <w:rFonts w:cs="Arial"/>
          <w:b w:val="0"/>
          <w:spacing w:val="50"/>
          <w:szCs w:val="18"/>
          <w:lang w:val="it-IT"/>
        </w:rPr>
        <w:t>.</w:t>
      </w:r>
      <w:r w:rsidR="00023A0D" w:rsidRPr="00F5694F">
        <w:rPr>
          <w:rFonts w:cs="Arial"/>
          <w:b w:val="0"/>
          <w:spacing w:val="50"/>
          <w:szCs w:val="18"/>
          <w:lang w:val="it-IT"/>
        </w:rPr>
        <w:t>15</w:t>
      </w:r>
      <w:r w:rsidR="00A7673B" w:rsidRPr="00F5694F">
        <w:rPr>
          <w:rFonts w:cs="Arial"/>
          <w:b w:val="0"/>
          <w:spacing w:val="50"/>
          <w:szCs w:val="18"/>
          <w:lang w:val="it-IT"/>
        </w:rPr>
        <w:t xml:space="preserve"> </w:t>
      </w:r>
      <w:r w:rsidR="006C63BC" w:rsidRPr="00F5694F">
        <w:rPr>
          <w:rFonts w:cs="Arial"/>
          <w:b w:val="0"/>
          <w:spacing w:val="50"/>
          <w:szCs w:val="18"/>
          <w:lang w:val="it-IT"/>
        </w:rPr>
        <w:t xml:space="preserve">Uhr – </w:t>
      </w:r>
      <w:r>
        <w:rPr>
          <w:rFonts w:cs="Arial"/>
          <w:b w:val="0"/>
          <w:spacing w:val="50"/>
          <w:szCs w:val="18"/>
          <w:lang w:val="it-IT"/>
        </w:rPr>
        <w:t>20</w:t>
      </w:r>
      <w:r w:rsidR="00EC7C04" w:rsidRPr="00F5694F">
        <w:rPr>
          <w:rFonts w:cs="Arial"/>
          <w:b w:val="0"/>
          <w:spacing w:val="50"/>
          <w:szCs w:val="18"/>
          <w:lang w:val="it-IT"/>
        </w:rPr>
        <w:t>.00</w:t>
      </w:r>
      <w:r w:rsidR="00F637A5" w:rsidRPr="00F5694F">
        <w:rPr>
          <w:rFonts w:cs="Arial"/>
          <w:b w:val="0"/>
          <w:spacing w:val="50"/>
          <w:szCs w:val="18"/>
          <w:lang w:val="it-IT"/>
        </w:rPr>
        <w:t xml:space="preserve"> Uhr</w:t>
      </w:r>
      <w:r w:rsidR="00F957D3" w:rsidRPr="00F5694F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4</w:t>
      </w:r>
      <w:r w:rsidR="008B21D7" w:rsidRPr="00F5694F">
        <w:rPr>
          <w:rFonts w:cs="Arial"/>
          <w:spacing w:val="50"/>
          <w:szCs w:val="18"/>
          <w:vertAlign w:val="superscript"/>
          <w:lang w:val="it-IT"/>
        </w:rPr>
        <w:t>ème</w:t>
      </w:r>
      <w:r w:rsidR="00F41D2B" w:rsidRPr="00F5694F">
        <w:rPr>
          <w:rFonts w:cs="Arial"/>
          <w:spacing w:val="50"/>
          <w:szCs w:val="18"/>
          <w:lang w:val="it-IT"/>
        </w:rPr>
        <w:t xml:space="preserve"> </w:t>
      </w:r>
      <w:r w:rsidR="00F637A5" w:rsidRPr="00F5694F">
        <w:rPr>
          <w:rFonts w:cs="Arial"/>
          <w:spacing w:val="50"/>
          <w:szCs w:val="18"/>
          <w:lang w:val="it-IT"/>
        </w:rPr>
        <w:t xml:space="preserve">séance; Ouverture: </w:t>
      </w:r>
      <w:r>
        <w:rPr>
          <w:rFonts w:cs="Arial"/>
          <w:spacing w:val="50"/>
          <w:szCs w:val="18"/>
          <w:lang w:val="it-IT"/>
        </w:rPr>
        <w:t>15</w:t>
      </w:r>
      <w:r w:rsidR="00F637A5" w:rsidRPr="00F5694F">
        <w:rPr>
          <w:rFonts w:cs="Arial"/>
          <w:spacing w:val="50"/>
          <w:szCs w:val="18"/>
          <w:lang w:val="it-IT"/>
        </w:rPr>
        <w:t>.</w:t>
      </w:r>
      <w:r w:rsidR="00023A0D" w:rsidRPr="00F5694F">
        <w:rPr>
          <w:rFonts w:cs="Arial"/>
          <w:spacing w:val="50"/>
          <w:szCs w:val="18"/>
          <w:lang w:val="it-IT"/>
        </w:rPr>
        <w:t>15</w:t>
      </w:r>
      <w:r w:rsidR="00F637A5" w:rsidRPr="00F5694F">
        <w:rPr>
          <w:rFonts w:cs="Arial"/>
          <w:spacing w:val="50"/>
          <w:szCs w:val="18"/>
          <w:lang w:val="it-IT"/>
        </w:rPr>
        <w:t xml:space="preserve"> h </w:t>
      </w:r>
      <w:r w:rsidR="00F637A5" w:rsidRPr="008B21D7">
        <w:rPr>
          <w:rFonts w:cs="Arial"/>
          <w:spacing w:val="50"/>
          <w:szCs w:val="18"/>
          <w:lang w:val="it-IT"/>
        </w:rPr>
        <w:t xml:space="preserve">– </w:t>
      </w:r>
      <w:r>
        <w:rPr>
          <w:rFonts w:cs="Arial"/>
          <w:spacing w:val="50"/>
          <w:szCs w:val="18"/>
          <w:lang w:val="it-IT"/>
        </w:rPr>
        <w:t>20</w:t>
      </w:r>
      <w:r w:rsidR="00EC7C04">
        <w:rPr>
          <w:rFonts w:cs="Arial"/>
          <w:spacing w:val="50"/>
          <w:szCs w:val="18"/>
          <w:lang w:val="it-CH"/>
        </w:rPr>
        <w:t>.00</w:t>
      </w:r>
      <w:r w:rsidR="00F637A5" w:rsidRPr="00023A0D">
        <w:rPr>
          <w:rFonts w:cs="Arial"/>
          <w:spacing w:val="50"/>
          <w:szCs w:val="18"/>
          <w:lang w:val="it-CH"/>
        </w:rPr>
        <w:t xml:space="preserve"> h</w:t>
      </w:r>
      <w:r w:rsidR="00F957D3">
        <w:rPr>
          <w:rFonts w:cs="Arial"/>
          <w:spacing w:val="50"/>
          <w:szCs w:val="18"/>
          <w:lang w:val="it-CH"/>
        </w:rPr>
        <w:br/>
      </w:r>
      <w:r>
        <w:rPr>
          <w:rFonts w:cs="Arial"/>
          <w:b w:val="0"/>
          <w:bCs/>
          <w:spacing w:val="50"/>
          <w:szCs w:val="18"/>
          <w:lang w:val="it-CH"/>
        </w:rPr>
        <w:t>4</w:t>
      </w:r>
      <w:r w:rsidR="00AB06DE" w:rsidRPr="00023A0D">
        <w:rPr>
          <w:rFonts w:cs="Arial"/>
          <w:b w:val="0"/>
          <w:bCs/>
          <w:spacing w:val="50"/>
          <w:szCs w:val="18"/>
          <w:lang w:val="it-CH"/>
        </w:rPr>
        <w:t xml:space="preserve">a 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>seduta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;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5952F5" w:rsidRPr="00023A0D">
        <w:rPr>
          <w:rFonts w:cs="Arial"/>
          <w:b w:val="0"/>
          <w:bCs/>
          <w:spacing w:val="50"/>
          <w:szCs w:val="18"/>
          <w:lang w:val="it-CH"/>
        </w:rPr>
        <w:t>Inizio: o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re</w:t>
      </w:r>
      <w:r w:rsidR="00D00602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>
        <w:rPr>
          <w:rFonts w:cs="Arial"/>
          <w:b w:val="0"/>
          <w:bCs/>
          <w:spacing w:val="50"/>
          <w:szCs w:val="18"/>
          <w:lang w:val="it-CH"/>
        </w:rPr>
        <w:t>15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>.</w:t>
      </w:r>
      <w:r w:rsidR="00023A0D" w:rsidRPr="00023A0D">
        <w:rPr>
          <w:rFonts w:cs="Arial"/>
          <w:b w:val="0"/>
          <w:bCs/>
          <w:spacing w:val="50"/>
          <w:szCs w:val="18"/>
          <w:lang w:val="it-CH"/>
        </w:rPr>
        <w:t>15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 xml:space="preserve"> – </w:t>
      </w:r>
      <w:r>
        <w:rPr>
          <w:rFonts w:cs="Arial"/>
          <w:b w:val="0"/>
          <w:bCs/>
          <w:spacing w:val="50"/>
          <w:szCs w:val="18"/>
          <w:lang w:val="it-CH"/>
        </w:rPr>
        <w:t>20</w:t>
      </w:r>
      <w:r w:rsidR="00EC7C04">
        <w:rPr>
          <w:rFonts w:cs="Arial"/>
          <w:b w:val="0"/>
          <w:bCs/>
          <w:spacing w:val="50"/>
          <w:szCs w:val="18"/>
          <w:lang w:val="it-CH"/>
        </w:rPr>
        <w:t>.00</w:t>
      </w:r>
    </w:p>
    <w:p w14:paraId="7C10A844" w14:textId="18BD5E5B" w:rsidR="00A90A80" w:rsidRPr="001511E1" w:rsidRDefault="00A90A80">
      <w:pPr>
        <w:rPr>
          <w:lang w:val="it-CH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A90A80" w14:paraId="356C7739" w14:textId="77777777" w:rsidTr="00ED03E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6BCC0D6" w14:textId="77777777" w:rsidR="008B21D7" w:rsidRDefault="008B21D7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8"/>
        <w:gridCol w:w="425"/>
        <w:gridCol w:w="5383"/>
        <w:gridCol w:w="1703"/>
        <w:gridCol w:w="858"/>
        <w:gridCol w:w="850"/>
        <w:gridCol w:w="2550"/>
        <w:gridCol w:w="994"/>
        <w:gridCol w:w="994"/>
      </w:tblGrid>
      <w:tr w:rsidR="00F5694F" w14:paraId="3B9FAFDA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2A0BD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D31D2" w14:textId="77777777" w:rsidR="00F5694F" w:rsidRDefault="0039203F" w:rsidP="000C343D">
            <w:pPr>
              <w:spacing w:beforeAutospacing="1" w:afterAutospacing="1"/>
            </w:pPr>
            <w:hyperlink r:id="rId14" w:history="1">
              <w:r w:rsidR="00F5694F">
                <w:rPr>
                  <w:rStyle w:val="Hyperlink"/>
                  <w:b/>
                  <w:lang w:val="de-DE"/>
                </w:rPr>
                <w:t>17.063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D4A37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4DC73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 xml:space="preserve">Zersiedelung stoppen - für eine nachhaltige Siedlungsentwicklung (Zersiedelungsinitiative). </w:t>
            </w:r>
            <w:r w:rsidRPr="00C20AF4">
              <w:rPr>
                <w:lang w:val="fr-CH"/>
              </w:rPr>
              <w:t xml:space="preserve">Volksinitiative </w:t>
            </w:r>
            <w:r w:rsidRPr="00C20AF4">
              <w:rPr>
                <w:lang w:val="fr-CH"/>
              </w:rPr>
              <w:br/>
              <w:t xml:space="preserve">Stopper le mitage - pour un développement durable du milieu bâti (initiative contre le mitage). </w:t>
            </w:r>
            <w:r w:rsidRPr="00C20AF4">
              <w:rPr>
                <w:lang w:val="it-IT"/>
              </w:rPr>
              <w:t xml:space="preserve">Initiative populaire </w:t>
            </w:r>
            <w:r w:rsidRPr="00C20AF4">
              <w:rPr>
                <w:lang w:val="it-IT"/>
              </w:rPr>
              <w:br/>
              <w:t xml:space="preserve">Fermare la dispersione degli insediamenti - per uno sviluppo insediativo sostenibile (Iniziativa contro la dispersione degli insediamenti). </w:t>
            </w:r>
            <w:r>
              <w:rPr>
                <w:lang w:val="de-DE"/>
              </w:rPr>
              <w:t xml:space="preserve">Iniziativa popolare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9F1A8" w14:textId="77777777" w:rsidR="00F5694F" w:rsidRPr="0028166B" w:rsidRDefault="00F5694F" w:rsidP="000C343D">
            <w:pPr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8979D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D5D37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DF880" w14:textId="77777777" w:rsidR="00F5694F" w:rsidRDefault="00F5694F" w:rsidP="000C343D">
            <w:r>
              <w:t>Eberle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30117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DD134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4DF8036D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A109D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C4FC0" w14:textId="77777777" w:rsidR="00F5694F" w:rsidRDefault="0039203F" w:rsidP="000C343D">
            <w:pPr>
              <w:spacing w:beforeAutospacing="1" w:afterAutospacing="1"/>
            </w:pPr>
            <w:hyperlink r:id="rId15" w:history="1">
              <w:r w:rsidR="00F5694F">
                <w:rPr>
                  <w:rStyle w:val="Hyperlink"/>
                  <w:b/>
                  <w:lang w:val="de-DE"/>
                </w:rPr>
                <w:t>18.3000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C1DD7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19794" w14:textId="77777777" w:rsidR="00F5694F" w:rsidRPr="0001515C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UREK-SR. Investitionsanreize für den langfristigen Erhalt der Schweizer Stromproduktionsanlagen </w:t>
            </w:r>
            <w:r>
              <w:rPr>
                <w:lang w:val="de-DE"/>
              </w:rPr>
              <w:br/>
              <w:t xml:space="preserve">Mo. </w:t>
            </w:r>
            <w:r w:rsidRPr="0028166B">
              <w:rPr>
                <w:lang w:val="fr-CH"/>
              </w:rPr>
              <w:t xml:space="preserve">CEATE-CE. </w:t>
            </w:r>
            <w:r w:rsidRPr="00C20AF4">
              <w:rPr>
                <w:lang w:val="fr-CH"/>
              </w:rPr>
              <w:t xml:space="preserve">Stimuler les investissements pour maintenir à long terme les installations suisses de production électrique </w:t>
            </w:r>
            <w:r w:rsidRPr="00C20AF4">
              <w:rPr>
                <w:lang w:val="fr-CH"/>
              </w:rPr>
              <w:br/>
              <w:t xml:space="preserve">Mo. </w:t>
            </w:r>
            <w:r w:rsidRPr="0001515C">
              <w:rPr>
                <w:lang w:val="it-IT"/>
              </w:rPr>
              <w:t>CAPTE-CS. Incentivare gli investimenti per il mantenimento a lungo termine degli impianti di produzione di energia elettrica svizzeri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0B8DE" w14:textId="77777777" w:rsidR="00F5694F" w:rsidRPr="0001515C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10E04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UREK</w:t>
            </w:r>
            <w:r>
              <w:rPr>
                <w:lang w:val="de-DE"/>
              </w:rPr>
              <w:br/>
              <w:t>CEATE</w:t>
            </w:r>
            <w:r>
              <w:rPr>
                <w:lang w:val="de-DE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3827A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13FAF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Luginbühl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513B5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1FF9E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</w:tbl>
    <w:p w14:paraId="592BB83B" w14:textId="2D707B3F" w:rsidR="00F5694F" w:rsidRDefault="00F5694F"/>
    <w:p w14:paraId="62191CFA" w14:textId="77777777" w:rsidR="00F5694F" w:rsidRDefault="00F5694F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F5694F" w14:paraId="29825C82" w14:textId="77777777" w:rsidTr="000C343D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97AA2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2948E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A0798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21D4B" w14:textId="77777777" w:rsidR="00F5694F" w:rsidRPr="00934858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AC699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BB45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9F7D2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4FE24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69686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97ECE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E09C9FE" w14:textId="77777777" w:rsidR="00F5694F" w:rsidRDefault="00F5694F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8"/>
        <w:gridCol w:w="425"/>
        <w:gridCol w:w="5362"/>
        <w:gridCol w:w="21"/>
        <w:gridCol w:w="1682"/>
        <w:gridCol w:w="21"/>
        <w:gridCol w:w="858"/>
        <w:gridCol w:w="850"/>
        <w:gridCol w:w="2550"/>
        <w:gridCol w:w="994"/>
        <w:gridCol w:w="994"/>
      </w:tblGrid>
      <w:tr w:rsidR="00F5694F" w14:paraId="7ADAC264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83AD3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57C67" w14:textId="77777777" w:rsidR="00F5694F" w:rsidRDefault="0039203F" w:rsidP="000C343D">
            <w:pPr>
              <w:spacing w:beforeAutospacing="1" w:afterAutospacing="1"/>
            </w:pPr>
            <w:hyperlink r:id="rId16" w:history="1">
              <w:r w:rsidR="00F5694F">
                <w:rPr>
                  <w:rStyle w:val="Hyperlink"/>
                  <w:b/>
                  <w:lang w:val="de-DE"/>
                </w:rPr>
                <w:t>18.3006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26DC2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98C5C" w14:textId="77777777" w:rsidR="00F5694F" w:rsidRPr="001D31E9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KVF-SR. Kollaps der Mobilfunknetze verhindern und Anschluss an Digitalisierung sicherstellen </w:t>
            </w:r>
            <w:r>
              <w:rPr>
                <w:lang w:val="de-DE"/>
              </w:rPr>
              <w:br/>
              <w:t xml:space="preserve">Mo. </w:t>
            </w:r>
            <w:r w:rsidRPr="001D31E9">
              <w:rPr>
                <w:lang w:val="fr-CH"/>
              </w:rPr>
              <w:t xml:space="preserve">CTT-CE. Éviter l'effondrement des réseaux de téléphonie mobile et assurer l'avenir numérique du pays </w:t>
            </w:r>
            <w:r w:rsidRPr="001D31E9">
              <w:rPr>
                <w:lang w:val="fr-CH"/>
              </w:rPr>
              <w:br/>
              <w:t xml:space="preserve">Mo. </w:t>
            </w:r>
            <w:r w:rsidRPr="001D31E9">
              <w:rPr>
                <w:lang w:val="it-IT"/>
              </w:rPr>
              <w:t xml:space="preserve">CTT-CS. Evitare il collasso delle reti di telefonia mobile e garantire il futuro della digitalizzazione del Paese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A79F0" w14:textId="77777777" w:rsidR="00F5694F" w:rsidRPr="001D31E9" w:rsidRDefault="00F5694F" w:rsidP="000C343D">
            <w:pPr>
              <w:rPr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4E831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  <w:t>CTT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C9151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FB176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Wicki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7B7F7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925C5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72F390AE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06FA3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79D0D" w14:textId="77777777" w:rsidR="00F5694F" w:rsidRDefault="0039203F" w:rsidP="000C343D">
            <w:pPr>
              <w:spacing w:beforeAutospacing="1" w:afterAutospacing="1"/>
            </w:pPr>
            <w:hyperlink r:id="rId17" w:history="1">
              <w:r w:rsidR="00F5694F">
                <w:rPr>
                  <w:rStyle w:val="Hyperlink"/>
                  <w:b/>
                  <w:lang w:val="de-DE"/>
                </w:rPr>
                <w:t>16.3697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0D795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B637F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 xml:space="preserve">Mo. Nationalrat (Page). Änderung des Raumplanungsgesetzes </w:t>
            </w:r>
            <w:r>
              <w:rPr>
                <w:lang w:val="de-DE"/>
              </w:rPr>
              <w:br/>
              <w:t xml:space="preserve">Mo. </w:t>
            </w:r>
            <w:r w:rsidRPr="006960F4">
              <w:rPr>
                <w:lang w:val="fr-CH"/>
              </w:rPr>
              <w:t xml:space="preserve">Conseil national (Page). Modification de la loi sur l'aménagement du territoire </w:t>
            </w:r>
            <w:r w:rsidRPr="006960F4">
              <w:rPr>
                <w:lang w:val="fr-CH"/>
              </w:rPr>
              <w:br/>
              <w:t xml:space="preserve">Mo. </w:t>
            </w:r>
            <w:r w:rsidRPr="002D77AE">
              <w:rPr>
                <w:lang w:val="fr-CH"/>
              </w:rPr>
              <w:t xml:space="preserve">Consiglio nazionale (Page). </w:t>
            </w:r>
            <w:r>
              <w:rPr>
                <w:lang w:val="de-DE"/>
              </w:rPr>
              <w:t xml:space="preserve">Modifica della LPT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4B60E" w14:textId="77777777" w:rsidR="00F5694F" w:rsidRPr="0028166B" w:rsidRDefault="00F5694F" w:rsidP="000C343D">
            <w:pPr>
              <w:rPr>
                <w:b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93CC2" w14:textId="77777777" w:rsidR="00F5694F" w:rsidRDefault="00F5694F" w:rsidP="000C343D">
            <w:pPr>
              <w:spacing w:beforeAutospacing="1" w:afterAutospacing="1"/>
            </w:pPr>
            <w:r>
              <w:rPr>
                <w:lang w:val="fr-CH"/>
              </w:rPr>
              <w:t>UREK</w:t>
            </w:r>
            <w:r>
              <w:rPr>
                <w:lang w:val="fr-CH"/>
              </w:rPr>
              <w:br/>
              <w:t>CEATE</w:t>
            </w:r>
            <w:r>
              <w:rPr>
                <w:lang w:val="fr-CH"/>
              </w:rPr>
              <w:br/>
              <w:t>CAPTE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CBA1D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CC9FF" w14:textId="77777777" w:rsidR="00F5694F" w:rsidRDefault="00F5694F" w:rsidP="000C343D">
            <w:r>
              <w:t>Eberle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DFED9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6A20C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096445D8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259C0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9DC03" w14:textId="77777777" w:rsidR="00F5694F" w:rsidRDefault="0039203F" w:rsidP="000C343D">
            <w:pPr>
              <w:spacing w:beforeAutospacing="1" w:afterAutospacing="1"/>
            </w:pPr>
            <w:hyperlink r:id="rId18" w:history="1">
              <w:r w:rsidR="00F5694F">
                <w:rPr>
                  <w:rStyle w:val="Hyperlink"/>
                  <w:b/>
                  <w:lang w:val="de-DE"/>
                </w:rPr>
                <w:t>17.4199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A40F2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A664B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Hösli. Bauen ausserhalb der Bauzonen. Mit Augenmass und Eigentumsgarantie </w:t>
            </w:r>
            <w:r>
              <w:rPr>
                <w:lang w:val="de-DE"/>
              </w:rPr>
              <w:br/>
              <w:t xml:space="preserve">Mo. </w:t>
            </w:r>
            <w:r w:rsidRPr="00B265B9">
              <w:rPr>
                <w:lang w:val="fr-CH"/>
              </w:rPr>
              <w:t xml:space="preserve">Hösli. Bâtiments d'habitation construits hors zone à bâtir. Faire prévaloir avec bon sens le principe constitutionnel de la garantie de la propriété </w:t>
            </w:r>
            <w:r w:rsidRPr="00B265B9">
              <w:rPr>
                <w:lang w:val="fr-CH"/>
              </w:rPr>
              <w:br/>
              <w:t xml:space="preserve">Mo. </w:t>
            </w:r>
            <w:r w:rsidRPr="00DB4DB3">
              <w:rPr>
                <w:lang w:val="it-IT"/>
              </w:rPr>
              <w:t xml:space="preserve">Hösli. Edifici fuori delle zone edificabili: costruire con criterio e nel rispetto della garanzia della proprietà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3380A" w14:textId="77777777" w:rsidR="00F5694F" w:rsidRPr="00DB4DB3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9CDF2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E8F8F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64833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CB1E8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1E1E8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37CE25BA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82AA9" w14:textId="77777777" w:rsidR="00F5694F" w:rsidRPr="00F94C82" w:rsidRDefault="00F5694F" w:rsidP="000C343D">
            <w:pPr>
              <w:keepLines/>
              <w:widowControl w:val="0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98245" w14:textId="77777777" w:rsidR="00F5694F" w:rsidRDefault="0039203F" w:rsidP="000C343D">
            <w:pPr>
              <w:keepLines/>
              <w:widowControl w:val="0"/>
            </w:pPr>
            <w:hyperlink r:id="rId19" w:history="1">
              <w:r w:rsidR="00F5694F">
                <w:rPr>
                  <w:rStyle w:val="Hyperlink"/>
                  <w:b/>
                  <w:lang w:val="de-DE"/>
                </w:rPr>
                <w:t>16.3336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7419F" w14:textId="77777777" w:rsidR="00F5694F" w:rsidRDefault="00F5694F" w:rsidP="000C343D">
            <w:pPr>
              <w:keepLines/>
              <w:widowControl w:val="0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D3F37" w14:textId="77777777" w:rsidR="00F5694F" w:rsidRPr="001D31E9" w:rsidRDefault="00F5694F" w:rsidP="000C343D">
            <w:pPr>
              <w:keepLines/>
              <w:widowControl w:val="0"/>
              <w:rPr>
                <w:lang w:val="it-IT"/>
              </w:rPr>
            </w:pPr>
            <w:r>
              <w:rPr>
                <w:lang w:val="de-DE"/>
              </w:rPr>
              <w:t xml:space="preserve">Mo. Nationalrat (Candinas). Erhöhung der Internet-Mindestgeschwindigkeit in der Grundversorgung auf 10 Megabit pro Sekunde </w:t>
            </w:r>
            <w:r>
              <w:rPr>
                <w:lang w:val="de-DE"/>
              </w:rPr>
              <w:br/>
              <w:t xml:space="preserve">Mo. </w:t>
            </w:r>
            <w:r w:rsidRPr="001D31E9">
              <w:rPr>
                <w:lang w:val="fr-CH"/>
              </w:rPr>
              <w:t xml:space="preserve">Conseil national (Candinas). Faire passer à 10 mégabits par seconde la vitesse minimale de connexion à Internet dans le cadre du service universel </w:t>
            </w:r>
            <w:r w:rsidRPr="001D31E9">
              <w:rPr>
                <w:lang w:val="fr-CH"/>
              </w:rPr>
              <w:br/>
              <w:t xml:space="preserve">Mo. </w:t>
            </w:r>
            <w:r w:rsidRPr="001D31E9">
              <w:rPr>
                <w:lang w:val="it-IT"/>
              </w:rPr>
              <w:t xml:space="preserve">Consiglio nazionale (Candinas). Aumento della velocità Internet minima a 10 megabit per secondo nel servizio universale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EDB46" w14:textId="77777777" w:rsidR="00F5694F" w:rsidRPr="001D31E9" w:rsidRDefault="00F5694F" w:rsidP="000C343D">
            <w:pPr>
              <w:keepLines/>
              <w:widowControl w:val="0"/>
              <w:rPr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EF269" w14:textId="77777777" w:rsidR="00F5694F" w:rsidRDefault="00F5694F" w:rsidP="000C343D">
            <w:pPr>
              <w:keepLines/>
              <w:widowControl w:val="0"/>
            </w:pPr>
            <w:r w:rsidRPr="001D31E9">
              <w:rPr>
                <w:lang w:val="fr-CH"/>
              </w:rPr>
              <w:t>KVF-SR</w:t>
            </w:r>
            <w:r w:rsidRPr="001D31E9">
              <w:rPr>
                <w:lang w:val="fr-CH"/>
              </w:rPr>
              <w:br/>
              <w:t>CTT-CE</w:t>
            </w:r>
            <w:r w:rsidRPr="001D31E9">
              <w:rPr>
                <w:lang w:val="fr-CH"/>
              </w:rPr>
              <w:br/>
              <w:t>CTT-CS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661C9" w14:textId="77777777" w:rsidR="00F5694F" w:rsidRDefault="00F5694F" w:rsidP="000C343D">
            <w:pPr>
              <w:keepLines/>
              <w:widowControl w:val="0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24C56" w14:textId="77777777" w:rsidR="00F5694F" w:rsidRDefault="00F5694F" w:rsidP="000C343D">
            <w:pPr>
              <w:keepLines/>
              <w:widowControl w:val="0"/>
            </w:pPr>
            <w:r>
              <w:rPr>
                <w:lang w:val="de-DE"/>
              </w:rPr>
              <w:t>Engler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763CC" w14:textId="77777777" w:rsidR="00F5694F" w:rsidRDefault="00F5694F" w:rsidP="000C343D">
            <w:pPr>
              <w:keepLines/>
              <w:widowControl w:val="0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BC59CF" w14:textId="77777777" w:rsidR="00F5694F" w:rsidRDefault="00F5694F" w:rsidP="000C343D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F5694F" w14:paraId="036C571B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A2E01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3C99C" w14:textId="77777777" w:rsidR="00F5694F" w:rsidRDefault="0039203F" w:rsidP="000C343D">
            <w:pPr>
              <w:spacing w:beforeAutospacing="1" w:afterAutospacing="1"/>
            </w:pPr>
            <w:hyperlink r:id="rId20" w:history="1">
              <w:r w:rsidR="00F5694F">
                <w:rPr>
                  <w:rStyle w:val="Hyperlink"/>
                  <w:b/>
                  <w:lang w:val="de-DE"/>
                </w:rPr>
                <w:t>17.4317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A3937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1E120" w14:textId="77777777" w:rsidR="00F5694F" w:rsidRPr="002D77AE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Caroni. Fairere Verfahren im Strassenverkehr </w:t>
            </w:r>
            <w:r>
              <w:rPr>
                <w:lang w:val="de-DE"/>
              </w:rPr>
              <w:br/>
              <w:t xml:space="preserve">Mo. </w:t>
            </w:r>
            <w:r w:rsidRPr="0025775F">
              <w:rPr>
                <w:lang w:val="fr-CH"/>
              </w:rPr>
              <w:t xml:space="preserve">Caroni. </w:t>
            </w:r>
            <w:r w:rsidRPr="00580E01">
              <w:rPr>
                <w:lang w:val="fr-CH"/>
              </w:rPr>
              <w:t xml:space="preserve">Circulation routière. Procédures plus équitables </w:t>
            </w:r>
            <w:r w:rsidRPr="00580E01">
              <w:rPr>
                <w:lang w:val="fr-CH"/>
              </w:rPr>
              <w:br/>
              <w:t xml:space="preserve">Mo. </w:t>
            </w:r>
            <w:r w:rsidRPr="00B265B9">
              <w:rPr>
                <w:lang w:val="it-IT"/>
              </w:rPr>
              <w:t xml:space="preserve">Caroni. </w:t>
            </w:r>
            <w:r w:rsidRPr="00D366E5">
              <w:rPr>
                <w:lang w:val="it-IT"/>
              </w:rPr>
              <w:t>Procedure più eque nella circolazione stradale</w:t>
            </w:r>
            <w:r w:rsidRPr="002D77AE">
              <w:rPr>
                <w:lang w:val="it-IT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66310" w14:textId="77777777" w:rsidR="00F5694F" w:rsidRPr="0028166B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33FDE" w14:textId="77777777" w:rsidR="00F5694F" w:rsidRPr="002D77AE" w:rsidRDefault="00F5694F" w:rsidP="000C343D">
            <w:pPr>
              <w:spacing w:beforeAutospacing="1" w:afterAutospacing="1"/>
              <w:rPr>
                <w:lang w:val="it-IT"/>
              </w:rPr>
            </w:pPr>
            <w:r w:rsidRPr="002D77AE">
              <w:rPr>
                <w:lang w:val="it-IT"/>
              </w:rPr>
              <w:br/>
            </w:r>
            <w:r w:rsidRPr="002D77AE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6066F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1A18C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F4DCE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986C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7BA41FCB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661A0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C2786" w14:textId="77777777" w:rsidR="00F5694F" w:rsidRDefault="0039203F" w:rsidP="000C343D">
            <w:pPr>
              <w:spacing w:beforeAutospacing="1" w:afterAutospacing="1"/>
            </w:pPr>
            <w:hyperlink r:id="rId21" w:history="1">
              <w:r w:rsidR="00F5694F">
                <w:rPr>
                  <w:rStyle w:val="Hyperlink"/>
                  <w:b/>
                  <w:lang w:val="de-DE"/>
                </w:rPr>
                <w:t>17.4200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4DE7A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7BAE7" w14:textId="77777777" w:rsidR="00F5694F" w:rsidRPr="00B265B9" w:rsidRDefault="00F5694F" w:rsidP="000C343D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de-CH"/>
              </w:rPr>
              <w:t xml:space="preserve">Ip. Abate. Honorare für Ingenieurleistungen: Zählt bei den Entscheiden des ASTRA und des BAV nur der Preis? </w:t>
            </w:r>
            <w:r w:rsidRPr="00DB4DB3">
              <w:rPr>
                <w:lang w:val="de-CH"/>
              </w:rPr>
              <w:br/>
            </w:r>
            <w:r w:rsidRPr="00DB4DB3">
              <w:rPr>
                <w:lang w:val="fr-CH"/>
              </w:rPr>
              <w:t xml:space="preserve">Ip. Abate. </w:t>
            </w:r>
            <w:r w:rsidRPr="00B265B9">
              <w:rPr>
                <w:lang w:val="fr-CH"/>
              </w:rPr>
              <w:t xml:space="preserve">Adjudications de l'OFROU et de l'OFT. Pour les prestations d'ingénierie, seul le prix compte? </w:t>
            </w:r>
            <w:r w:rsidRPr="00B265B9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Abate. </w:t>
            </w:r>
            <w:r w:rsidRPr="00B265B9">
              <w:rPr>
                <w:lang w:val="it-IT"/>
              </w:rPr>
              <w:t xml:space="preserve">Delibere USTRA e UFT e onorari prestazioni di ingegneria: conta solo il prezzo?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9EC76" w14:textId="77777777" w:rsidR="00F5694F" w:rsidRPr="0028166B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13BB8" w14:textId="77777777" w:rsidR="00F5694F" w:rsidRPr="00B265B9" w:rsidRDefault="00F5694F" w:rsidP="000C343D">
            <w:pPr>
              <w:spacing w:beforeAutospacing="1" w:afterAutospacing="1"/>
              <w:rPr>
                <w:lang w:val="it-IT"/>
              </w:rPr>
            </w:pPr>
            <w:r w:rsidRPr="00B265B9">
              <w:rPr>
                <w:lang w:val="it-IT"/>
              </w:rPr>
              <w:br/>
            </w:r>
            <w:r w:rsidRPr="00B265B9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CB4F3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67D1C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A62CE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D4530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6E6F38FF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4BB62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59C8E" w14:textId="77777777" w:rsidR="00F5694F" w:rsidRDefault="0039203F" w:rsidP="000C343D">
            <w:pPr>
              <w:spacing w:beforeAutospacing="1" w:afterAutospacing="1"/>
            </w:pPr>
            <w:hyperlink r:id="rId22" w:history="1">
              <w:r w:rsidR="00F5694F">
                <w:rPr>
                  <w:rStyle w:val="Hyperlink"/>
                  <w:b/>
                  <w:lang w:val="de-DE"/>
                </w:rPr>
                <w:t>17.4207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3DA63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DE9E6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Vonlanthen. No Billag ist ein absolutes No go, aber wie verhindern wir den Scherbenhaufen? </w:t>
            </w:r>
            <w:r>
              <w:rPr>
                <w:lang w:val="de-DE"/>
              </w:rPr>
              <w:br/>
            </w:r>
            <w:r w:rsidRPr="00B265B9">
              <w:rPr>
                <w:lang w:val="fr-CH"/>
              </w:rPr>
              <w:t xml:space="preserve">Ip. Vonlanthen. L'option No Billag est exclue, mais comment éviter le désastre? </w:t>
            </w:r>
            <w:r w:rsidRPr="00B265B9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Vonlanthen. L'opzione No Billag è da escludere, ma come evitare il disastro?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2DF8A" w14:textId="77777777" w:rsidR="00F5694F" w:rsidRPr="00DB4DB3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699CE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76A86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E65BC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1829D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C860C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</w:tbl>
    <w:p w14:paraId="0923BF7F" w14:textId="1A75B4AD" w:rsidR="00F5694F" w:rsidRDefault="00F5694F"/>
    <w:p w14:paraId="3BAA136A" w14:textId="77777777" w:rsidR="00F5694F" w:rsidRDefault="00F5694F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F5694F" w14:paraId="7A9D4B21" w14:textId="77777777" w:rsidTr="000C343D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7AE5D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8EBFE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250AF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E0226" w14:textId="77777777" w:rsidR="00F5694F" w:rsidRPr="00934858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5249A" w14:textId="77777777" w:rsidR="00F5694F" w:rsidRPr="00EB36F1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9F5A6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1A2A3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95668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48BC1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238E3" w14:textId="77777777" w:rsidR="00F5694F" w:rsidRDefault="00F5694F" w:rsidP="000C343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F68B0B6" w14:textId="77777777" w:rsidR="00F5694F" w:rsidRDefault="00F5694F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8"/>
        <w:gridCol w:w="425"/>
        <w:gridCol w:w="5383"/>
        <w:gridCol w:w="1703"/>
        <w:gridCol w:w="858"/>
        <w:gridCol w:w="850"/>
        <w:gridCol w:w="2550"/>
        <w:gridCol w:w="994"/>
        <w:gridCol w:w="994"/>
      </w:tblGrid>
      <w:tr w:rsidR="00F5694F" w14:paraId="16B35608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A8925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C29AF" w14:textId="77777777" w:rsidR="00F5694F" w:rsidRDefault="0039203F" w:rsidP="000C343D">
            <w:pPr>
              <w:spacing w:beforeAutospacing="1" w:afterAutospacing="1"/>
            </w:pPr>
            <w:hyperlink r:id="rId23" w:history="1">
              <w:r w:rsidR="00F5694F">
                <w:rPr>
                  <w:rStyle w:val="Hyperlink"/>
                  <w:b/>
                  <w:lang w:val="de-DE"/>
                </w:rPr>
                <w:t>17.4208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7DEDE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D9849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Vonlanthen. Baubewilligungen für den Ersatz von Wärmepumpen. </w:t>
            </w:r>
            <w:r w:rsidRPr="0025775F">
              <w:rPr>
                <w:lang w:val="fr-CH"/>
              </w:rPr>
              <w:t xml:space="preserve">Torpedierung der Energiestrategie 2050 durch eine inadäquate Umsetzungspraxis </w:t>
            </w:r>
            <w:r w:rsidRPr="0025775F">
              <w:rPr>
                <w:lang w:val="fr-CH"/>
              </w:rPr>
              <w:br/>
              <w:t xml:space="preserve">Ip. Vonlanthen. </w:t>
            </w:r>
            <w:r w:rsidRPr="00580E01">
              <w:rPr>
                <w:lang w:val="fr-CH"/>
              </w:rPr>
              <w:t xml:space="preserve">Autorisations de construire pour le remplacement des pompes à chaleur. Une pratique administrative inadéquate qui torpille la Stratégie énergétique 2050 </w:t>
            </w:r>
            <w:r w:rsidRPr="00580E01">
              <w:rPr>
                <w:lang w:val="fr-CH"/>
              </w:rPr>
              <w:br/>
              <w:t xml:space="preserve">Ip. </w:t>
            </w:r>
            <w:r w:rsidRPr="00DB4DB3">
              <w:rPr>
                <w:lang w:val="it-IT"/>
              </w:rPr>
              <w:t xml:space="preserve">Vonlanthen. Autorizzazioni edilizie per la sostituzione delle pompe di calore: la prassi di attuazione inadeguata silura la Strategia energetica 2050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7CD62" w14:textId="77777777" w:rsidR="00F5694F" w:rsidRPr="00DB4DB3" w:rsidRDefault="00F5694F" w:rsidP="000C343D">
            <w:pPr>
              <w:rPr>
                <w:b/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F1087" w14:textId="77777777" w:rsidR="00F5694F" w:rsidRPr="00DB4DB3" w:rsidRDefault="00F5694F" w:rsidP="000C343D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9E268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FA80B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E75ED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EED53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2871E82D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83251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F3D38" w14:textId="77777777" w:rsidR="00F5694F" w:rsidRDefault="0039203F" w:rsidP="000C343D">
            <w:pPr>
              <w:spacing w:beforeAutospacing="1" w:afterAutospacing="1"/>
            </w:pPr>
            <w:hyperlink r:id="rId24" w:history="1">
              <w:r w:rsidR="00F5694F">
                <w:rPr>
                  <w:rStyle w:val="Hyperlink"/>
                  <w:b/>
                  <w:lang w:val="de-DE"/>
                </w:rPr>
                <w:t>17.3991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C677C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AC73B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 xml:space="preserve">Ip. Müller Damian. Verhältnismässigkeit und Nutzen von Wildtierübergängen </w:t>
            </w:r>
            <w:r>
              <w:rPr>
                <w:lang w:val="de-DE"/>
              </w:rPr>
              <w:br/>
              <w:t xml:space="preserve">Ip. </w:t>
            </w:r>
            <w:r w:rsidRPr="00B265B9">
              <w:rPr>
                <w:lang w:val="fr-CH"/>
              </w:rPr>
              <w:t xml:space="preserve">Müller Damian. Passages à faune. Utilité et conformité au principe de proportionnalité </w:t>
            </w:r>
            <w:r w:rsidRPr="00B265B9">
              <w:rPr>
                <w:lang w:val="fr-CH"/>
              </w:rPr>
              <w:br/>
              <w:t xml:space="preserve">Ip. </w:t>
            </w:r>
            <w:r>
              <w:rPr>
                <w:lang w:val="de-DE"/>
              </w:rPr>
              <w:t xml:space="preserve">Müller Damian. </w:t>
            </w:r>
            <w:r w:rsidRPr="00D366E5">
              <w:rPr>
                <w:lang w:val="de-DE"/>
              </w:rPr>
              <w:t>Proporzionalità e utilità dei passaggi faunistici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9EB56" w14:textId="77777777" w:rsidR="00F5694F" w:rsidRPr="0028166B" w:rsidRDefault="00F5694F" w:rsidP="000C343D">
            <w:pPr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63854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BD28C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90B24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D4C75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D8F4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  <w:tr w:rsidR="00F5694F" w14:paraId="3AE5243E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4D087" w14:textId="77777777" w:rsidR="00F5694F" w:rsidRPr="00F94C82" w:rsidRDefault="00F5694F" w:rsidP="000C343D">
            <w:pPr>
              <w:keepLines/>
              <w:widowControl w:val="0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09E23" w14:textId="77777777" w:rsidR="00F5694F" w:rsidRDefault="0039203F" w:rsidP="000C343D">
            <w:pPr>
              <w:keepLines/>
              <w:widowControl w:val="0"/>
            </w:pPr>
            <w:hyperlink r:id="rId25" w:history="1">
              <w:r w:rsidR="00F5694F">
                <w:rPr>
                  <w:rStyle w:val="Hyperlink"/>
                  <w:b/>
                  <w:lang w:val="de-DE"/>
                </w:rPr>
                <w:t>17.4315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F8F6B" w14:textId="77777777" w:rsidR="00F5694F" w:rsidRDefault="00F5694F" w:rsidP="000C343D">
            <w:pPr>
              <w:keepLines/>
              <w:widowControl w:val="0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DA22A" w14:textId="77777777" w:rsidR="00F5694F" w:rsidRDefault="00F5694F" w:rsidP="000C343D">
            <w:pPr>
              <w:keepLines/>
              <w:widowControl w:val="0"/>
            </w:pPr>
            <w:r>
              <w:rPr>
                <w:lang w:val="de-DE"/>
              </w:rPr>
              <w:t xml:space="preserve">Ip. Comte. Institutionelle Investoren: treuhänderische Pflicht und Klimawandel </w:t>
            </w:r>
            <w:r>
              <w:rPr>
                <w:lang w:val="de-DE"/>
              </w:rPr>
              <w:br/>
              <w:t xml:space="preserve">Ip. </w:t>
            </w:r>
            <w:r w:rsidRPr="00B265B9">
              <w:rPr>
                <w:lang w:val="fr-CH"/>
              </w:rPr>
              <w:t xml:space="preserve">Comte. Investisseurs institutionnels: devoir fiduciaire et changements climatiques </w:t>
            </w:r>
            <w:r w:rsidRPr="00B265B9">
              <w:rPr>
                <w:lang w:val="fr-CH"/>
              </w:rPr>
              <w:br/>
              <w:t xml:space="preserve">Ip. Comte. </w:t>
            </w:r>
            <w:r w:rsidRPr="00D366E5">
              <w:rPr>
                <w:lang w:val="de-DE"/>
              </w:rPr>
              <w:t>Investitori istituzionali: dovere fiduciario e cambiamenti climatici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2D1C5" w14:textId="77777777" w:rsidR="00F5694F" w:rsidRDefault="00F5694F" w:rsidP="000C343D">
            <w:pPr>
              <w:keepLines/>
              <w:widowControl w:val="0"/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0621FF" w14:textId="77777777" w:rsidR="00F5694F" w:rsidRDefault="00F5694F" w:rsidP="000C343D">
            <w:pPr>
              <w:keepLines/>
              <w:widowControl w:val="0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30CA8" w14:textId="77777777" w:rsidR="00F5694F" w:rsidRDefault="00F5694F" w:rsidP="000C343D">
            <w:pPr>
              <w:keepLines/>
              <w:widowControl w:val="0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9346A" w14:textId="77777777" w:rsidR="00F5694F" w:rsidRDefault="00F5694F" w:rsidP="000C343D">
            <w:pPr>
              <w:keepLines/>
              <w:widowControl w:val="0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CA6DE" w14:textId="77777777" w:rsidR="00F5694F" w:rsidRDefault="00F5694F" w:rsidP="000C343D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A5CC1" w14:textId="77777777" w:rsidR="00F5694F" w:rsidRDefault="00F5694F" w:rsidP="000C343D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F5694F" w14:paraId="151E53E3" w14:textId="77777777" w:rsidTr="000C343D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C26FC" w14:textId="77777777" w:rsidR="00F5694F" w:rsidRPr="00F94C82" w:rsidRDefault="00F5694F" w:rsidP="000C343D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03775" w14:textId="77777777" w:rsidR="00F5694F" w:rsidRDefault="0039203F" w:rsidP="000C343D">
            <w:pPr>
              <w:spacing w:beforeAutospacing="1" w:afterAutospacing="1"/>
            </w:pPr>
            <w:hyperlink r:id="rId26" w:history="1">
              <w:r w:rsidR="00F5694F">
                <w:rPr>
                  <w:rStyle w:val="Hyperlink"/>
                  <w:b/>
                  <w:lang w:val="de-DE"/>
                </w:rPr>
                <w:t>17.4050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C8042" w14:textId="77777777" w:rsidR="00F5694F" w:rsidRDefault="00F5694F" w:rsidP="000C343D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14E73" w14:textId="77777777" w:rsidR="00F5694F" w:rsidRPr="004035A4" w:rsidRDefault="00F5694F" w:rsidP="000C343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Berberat. Besteuerung der Schweizerischen Post und von deren Konzerngesellschaften auf Kantons- und Gemeindeebene </w:t>
            </w:r>
            <w:r>
              <w:rPr>
                <w:lang w:val="de-DE"/>
              </w:rPr>
              <w:br/>
              <w:t xml:space="preserve">Ip. </w:t>
            </w:r>
            <w:r w:rsidRPr="00B265B9">
              <w:rPr>
                <w:lang w:val="fr-CH"/>
              </w:rPr>
              <w:t xml:space="preserve">Berberat. Imposition de la Poste suisse et de ses sociétés au niveau des cantons et communes </w:t>
            </w:r>
            <w:r w:rsidRPr="00B265B9">
              <w:rPr>
                <w:lang w:val="fr-CH"/>
              </w:rPr>
              <w:br/>
              <w:t xml:space="preserve">Ip. </w:t>
            </w:r>
            <w:r w:rsidRPr="004035A4">
              <w:rPr>
                <w:lang w:val="it-IT"/>
              </w:rPr>
              <w:t>Berberat. Tassazione della Posta svizzera e delle sue società a livello cantonale e comunale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B6FE3" w14:textId="77777777" w:rsidR="00F5694F" w:rsidRPr="004035A4" w:rsidRDefault="00F5694F" w:rsidP="000C343D">
            <w:pPr>
              <w:rPr>
                <w:lang w:val="it-IT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036B2" w14:textId="77777777" w:rsidR="00F5694F" w:rsidRPr="004035A4" w:rsidRDefault="00F5694F" w:rsidP="000C343D">
            <w:pPr>
              <w:spacing w:beforeAutospacing="1" w:afterAutospacing="1"/>
              <w:rPr>
                <w:lang w:val="it-IT"/>
              </w:rPr>
            </w:pPr>
            <w:r w:rsidRPr="004035A4">
              <w:rPr>
                <w:lang w:val="it-IT"/>
              </w:rPr>
              <w:br/>
            </w:r>
            <w:r w:rsidRPr="004035A4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F45B2" w14:textId="77777777" w:rsidR="00F5694F" w:rsidRDefault="00F5694F" w:rsidP="000C343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1A164" w14:textId="77777777" w:rsidR="00F5694F" w:rsidRDefault="00F5694F" w:rsidP="000C343D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97077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C57B9" w14:textId="77777777" w:rsidR="00F5694F" w:rsidRDefault="00F5694F" w:rsidP="000C343D">
            <w:pPr>
              <w:rPr>
                <w:sz w:val="20"/>
                <w:szCs w:val="20"/>
              </w:rPr>
            </w:pPr>
          </w:p>
        </w:tc>
      </w:tr>
    </w:tbl>
    <w:p w14:paraId="62EE49CD" w14:textId="0D44F3A6" w:rsidR="004F2763" w:rsidRDefault="004F2763"/>
    <w:p w14:paraId="0323059A" w14:textId="07BDAF01" w:rsidR="004F2763" w:rsidRDefault="004F2763"/>
    <w:p w14:paraId="1CB1F023" w14:textId="77777777" w:rsidR="008B21D7" w:rsidRDefault="008B21D7"/>
    <w:p w14:paraId="4EE75736" w14:textId="77777777" w:rsidR="008B21D7" w:rsidRDefault="008B21D7"/>
    <w:sectPr w:rsidR="008B21D7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7AC5"/>
    <w:rsid w:val="001D0FEE"/>
    <w:rsid w:val="001E35AA"/>
    <w:rsid w:val="001E427B"/>
    <w:rsid w:val="001F046F"/>
    <w:rsid w:val="00206AF7"/>
    <w:rsid w:val="00215B4C"/>
    <w:rsid w:val="00216C0B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902B5"/>
    <w:rsid w:val="0039203F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763"/>
    <w:rsid w:val="004F2817"/>
    <w:rsid w:val="00503B1E"/>
    <w:rsid w:val="0051434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96CA5"/>
    <w:rsid w:val="006B1731"/>
    <w:rsid w:val="006C63BC"/>
    <w:rsid w:val="006C6D76"/>
    <w:rsid w:val="006D2F0E"/>
    <w:rsid w:val="006D5F18"/>
    <w:rsid w:val="006E0126"/>
    <w:rsid w:val="006E0ACF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97224"/>
    <w:rsid w:val="008A1AAF"/>
    <w:rsid w:val="008A64B4"/>
    <w:rsid w:val="008B21D7"/>
    <w:rsid w:val="008C67C4"/>
    <w:rsid w:val="008E2276"/>
    <w:rsid w:val="009019AF"/>
    <w:rsid w:val="0092540C"/>
    <w:rsid w:val="00934858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1D3F"/>
    <w:rsid w:val="00E67508"/>
    <w:rsid w:val="00E71438"/>
    <w:rsid w:val="00E71962"/>
    <w:rsid w:val="00E76F3D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5694F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74199" TargetMode="External"/><Relationship Id="rId26" Type="http://schemas.openxmlformats.org/officeDocument/2006/relationships/hyperlink" Target="https://www.parlament.ch/de/ratsbetrieb/suche-curia-vista/geschaeft?AffairId=201740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420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63697" TargetMode="External"/><Relationship Id="rId25" Type="http://schemas.openxmlformats.org/officeDocument/2006/relationships/hyperlink" Target="https://www.parlament.ch/de/ratsbetrieb/suche-curia-vista/geschaeft?AffairId=201743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006" TargetMode="External"/><Relationship Id="rId20" Type="http://schemas.openxmlformats.org/officeDocument/2006/relationships/hyperlink" Target="https://www.parlament.ch/de/ratsbetrieb/suche-curia-vista/geschaeft?AffairId=2017431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399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000" TargetMode="External"/><Relationship Id="rId23" Type="http://schemas.openxmlformats.org/officeDocument/2006/relationships/hyperlink" Target="https://www.parlament.ch/de/ratsbetrieb/suche-curia-vista/geschaeft?AffairId=20174208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6333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70063" TargetMode="External"/><Relationship Id="rId22" Type="http://schemas.openxmlformats.org/officeDocument/2006/relationships/hyperlink" Target="https://www.parlament.ch/de/ratsbetrieb/suche-curia-vista/geschaeft?AffairId=201742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2018-02-27T23:00:00+00:00</Dokumentendatum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70B9-E248-4012-AF7C-D2FFF3A90CAC}"/>
</file>

<file path=customXml/itemProps2.xml><?xml version="1.0" encoding="utf-8"?>
<ds:datastoreItem xmlns:ds="http://schemas.openxmlformats.org/officeDocument/2006/customXml" ds:itemID="{F56D89BB-F593-4409-8C75-664D010EF29E}"/>
</file>

<file path=customXml/itemProps3.xml><?xml version="1.0" encoding="utf-8"?>
<ds:datastoreItem xmlns:ds="http://schemas.openxmlformats.org/officeDocument/2006/customXml" ds:itemID="{36B9EC00-1971-4DDC-A0D2-B6D9ADDE08E7}"/>
</file>

<file path=customXml/itemProps4.xml><?xml version="1.0" encoding="utf-8"?>
<ds:datastoreItem xmlns:ds="http://schemas.openxmlformats.org/officeDocument/2006/customXml" ds:itemID="{44FB1523-6984-4594-A21A-5A70FAC1A190}"/>
</file>

<file path=customXml/itemProps5.xml><?xml version="1.0" encoding="utf-8"?>
<ds:datastoreItem xmlns:ds="http://schemas.openxmlformats.org/officeDocument/2006/customXml" ds:itemID="{5B2A3688-10B3-4B01-833F-983D9B12ED79}"/>
</file>

<file path=customXml/itemProps6.xml><?xml version="1.0" encoding="utf-8"?>
<ds:datastoreItem xmlns:ds="http://schemas.openxmlformats.org/officeDocument/2006/customXml" ds:itemID="{B7754570-36AE-4D22-88A8-FEA5ED23F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6829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3</cp:revision>
  <cp:lastPrinted>2018-02-28T10:00:00Z</cp:lastPrinted>
  <dcterms:created xsi:type="dcterms:W3CDTF">2018-02-28T09:53:00Z</dcterms:created>
  <dcterms:modified xsi:type="dcterms:W3CDTF">2018-02-28T10:00:00Z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