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9C0F0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776B8DF4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7431B084" w14:textId="77777777" w:rsidR="00302B4C" w:rsidRPr="001879EE" w:rsidRDefault="00E80F79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1879EE">
        <w:rPr>
          <w:noProof/>
          <w:sz w:val="22"/>
          <w:lang w:val="de-CH"/>
        </w:rPr>
        <w:t>Tagesordnung für Donnerstag, 14. Juni 2018</w:t>
      </w:r>
      <w:r w:rsidR="002C756A" w:rsidRPr="001879EE">
        <w:rPr>
          <w:sz w:val="22"/>
          <w:lang w:val="de-CH"/>
        </w:rPr>
        <w:br/>
      </w:r>
    </w:p>
    <w:p w14:paraId="314DA0EE" w14:textId="77777777" w:rsidR="00302B4C" w:rsidRPr="001879EE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0A23905F" w14:textId="77777777" w:rsidR="00302B4C" w:rsidRPr="001879EE" w:rsidRDefault="00E80F79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  <w:r w:rsidRPr="001879EE">
        <w:rPr>
          <w:noProof/>
          <w:sz w:val="22"/>
          <w:lang w:val="de-CH"/>
        </w:rPr>
        <w:t>Ordre du jour du jeudi 14 juin 2018</w:t>
      </w:r>
      <w:r w:rsidR="002C756A" w:rsidRPr="001879EE">
        <w:rPr>
          <w:sz w:val="22"/>
          <w:lang w:val="de-CH"/>
        </w:rPr>
        <w:br/>
      </w:r>
    </w:p>
    <w:p w14:paraId="1166520C" w14:textId="77777777" w:rsidR="00302B4C" w:rsidRPr="001879EE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de-CH"/>
        </w:rPr>
      </w:pPr>
    </w:p>
    <w:p w14:paraId="1D665F6B" w14:textId="77777777" w:rsidR="00302B4C" w:rsidRPr="001879EE" w:rsidRDefault="00E80F79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de-CH"/>
        </w:rPr>
      </w:pPr>
      <w:r w:rsidRPr="001879EE">
        <w:rPr>
          <w:noProof/>
          <w:sz w:val="22"/>
          <w:lang w:val="de-CH"/>
        </w:rPr>
        <w:t>Ordine del giorno del 14 giugno 2018</w:t>
      </w:r>
      <w:r w:rsidR="002C756A" w:rsidRPr="001879EE">
        <w:rPr>
          <w:sz w:val="22"/>
          <w:lang w:val="de-CH"/>
        </w:rPr>
        <w:br/>
      </w:r>
    </w:p>
    <w:p w14:paraId="7B67432A" w14:textId="77777777" w:rsidR="00302B4C" w:rsidRPr="001879EE" w:rsidRDefault="00302B4C" w:rsidP="00302B4C">
      <w:pPr>
        <w:rPr>
          <w:lang w:val="de-CH"/>
        </w:rPr>
      </w:pPr>
    </w:p>
    <w:p w14:paraId="4388A469" w14:textId="77777777" w:rsidR="00E80F79" w:rsidRPr="001879EE" w:rsidRDefault="00E80F79" w:rsidP="00302B4C">
      <w:pPr>
        <w:rPr>
          <w:lang w:val="de-CH"/>
        </w:rPr>
      </w:pPr>
    </w:p>
    <w:p w14:paraId="6C181740" w14:textId="77777777" w:rsidR="00302B4C" w:rsidRPr="001879EE" w:rsidRDefault="00302B4C" w:rsidP="00302B4C">
      <w:pPr>
        <w:rPr>
          <w:sz w:val="22"/>
          <w:lang w:val="de-CH"/>
        </w:rPr>
      </w:pPr>
    </w:p>
    <w:p w14:paraId="7340DA8C" w14:textId="77777777" w:rsidR="00302B4C" w:rsidRPr="001879EE" w:rsidRDefault="00302B4C" w:rsidP="00302B4C">
      <w:pPr>
        <w:rPr>
          <w:sz w:val="22"/>
          <w:lang w:val="de-CH"/>
        </w:rPr>
      </w:pPr>
    </w:p>
    <w:p w14:paraId="1A0D2712" w14:textId="77777777" w:rsidR="00302B4C" w:rsidRPr="001879EE" w:rsidRDefault="00302B4C" w:rsidP="00302B4C">
      <w:pPr>
        <w:rPr>
          <w:sz w:val="22"/>
          <w:lang w:val="de-CH"/>
        </w:rPr>
      </w:pPr>
    </w:p>
    <w:p w14:paraId="05A09AE9" w14:textId="77777777" w:rsidR="00302B4C" w:rsidRPr="001879EE" w:rsidRDefault="00302B4C" w:rsidP="00302B4C">
      <w:pPr>
        <w:rPr>
          <w:sz w:val="22"/>
          <w:lang w:val="de-CH"/>
        </w:rPr>
      </w:pPr>
    </w:p>
    <w:p w14:paraId="7D63870D" w14:textId="77777777" w:rsidR="00302B4C" w:rsidRPr="001879EE" w:rsidRDefault="002C756A" w:rsidP="00302B4C">
      <w:pPr>
        <w:ind w:left="6372"/>
        <w:rPr>
          <w:rFonts w:cs="Arial"/>
          <w:lang w:val="de-CH"/>
        </w:rPr>
      </w:pPr>
      <w:r w:rsidRPr="001879EE">
        <w:rPr>
          <w:rFonts w:cs="Arial"/>
          <w:noProof/>
          <w:lang w:val="de-CH"/>
        </w:rPr>
        <w:t>Änderungen vorbehalten</w:t>
      </w:r>
      <w:r w:rsidRPr="001879EE">
        <w:rPr>
          <w:rFonts w:cs="Arial"/>
          <w:lang w:val="de-CH"/>
        </w:rPr>
        <w:t xml:space="preserve"> </w:t>
      </w:r>
      <w:r w:rsidRPr="001879EE">
        <w:rPr>
          <w:rFonts w:cs="Arial"/>
          <w:lang w:val="de-CH"/>
        </w:rPr>
        <w:br/>
      </w:r>
      <w:r w:rsidRPr="001879EE">
        <w:rPr>
          <w:rFonts w:cs="Arial"/>
          <w:noProof/>
          <w:lang w:val="de-CH"/>
        </w:rPr>
        <w:t>Modifications réservées</w:t>
      </w:r>
      <w:r w:rsidRPr="001879EE">
        <w:rPr>
          <w:rFonts w:cs="Arial"/>
          <w:lang w:val="de-CH"/>
        </w:rPr>
        <w:t xml:space="preserve"> </w:t>
      </w:r>
      <w:r w:rsidRPr="001879EE">
        <w:rPr>
          <w:rFonts w:cs="Arial"/>
          <w:lang w:val="de-CH"/>
        </w:rPr>
        <w:br/>
      </w:r>
      <w:r w:rsidRPr="001879EE">
        <w:rPr>
          <w:rFonts w:cs="Arial"/>
          <w:noProof/>
          <w:lang w:val="de-CH"/>
        </w:rPr>
        <w:t>Sono fatte salve eventuali modifiche</w:t>
      </w:r>
    </w:p>
    <w:p w14:paraId="6E40F694" w14:textId="77777777" w:rsidR="003343EE" w:rsidRPr="001879EE" w:rsidRDefault="003343EE" w:rsidP="00F946EC">
      <w:pPr>
        <w:pStyle w:val="Kopfzeile"/>
        <w:pageBreakBefore/>
        <w:widowControl w:val="0"/>
        <w:rPr>
          <w:b/>
          <w:lang w:val="de-CH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933290" w14:paraId="1DAE401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408B85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53B9E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CEF1E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33290" w14:paraId="0823E35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EA028" w14:textId="77777777" w:rsidR="00E822EB" w:rsidRPr="008117B0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2EF88" w14:textId="77777777" w:rsidR="00E822EB" w:rsidRPr="008117B0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BF571" w14:textId="77777777" w:rsidR="00E822EB" w:rsidRPr="008117B0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33290" w14:paraId="07E4E74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65587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C07B7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 15:00 - 19:00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0D1FE" w14:textId="77777777" w:rsidR="00E822EB" w:rsidRDefault="002C756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33290" w14:paraId="69DC600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295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113E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52D0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33290" w:rsidRPr="001879EE" w14:paraId="2249FBBD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C85CB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59EC0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81C12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99CBB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E82A2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64C62" w14:textId="77777777" w:rsidR="00346BF8" w:rsidRPr="004C13D5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D02AD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C6DBA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A7254" w14:textId="77777777" w:rsidR="00346BF8" w:rsidRPr="003268E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0E0BA" w14:textId="77777777" w:rsidR="00346BF8" w:rsidRPr="00230BCC" w:rsidRDefault="002C756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33290" w14:paraId="2CC7749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B5609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04F9D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2C756A" w:rsidRPr="007B04AB">
                <w:rPr>
                  <w:rStyle w:val="Hyperlink"/>
                  <w:b/>
                </w:rPr>
                <w:t>18.3137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B2AA7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022BC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Savary. Für eine wahre Schweizer Medienagentur</w:t>
            </w:r>
          </w:p>
          <w:p w14:paraId="6B514682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Po. Savary. Pour une vraie agence des médias suisses</w:t>
            </w:r>
          </w:p>
          <w:p w14:paraId="280ADC9E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Po. Savary. Per una vera agenzia dei media svizzeri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E68B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54EEF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22812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477A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D5B06C9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820236A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B5D8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074A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7615A2E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FD97B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738BA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2C756A" w:rsidRPr="007B04AB">
                <w:rPr>
                  <w:rStyle w:val="Hyperlink"/>
                  <w:b/>
                </w:rPr>
                <w:t>18.3070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7E08E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E8F22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Stärkung der Schweizer Medienvielfalt dank einer soliden und zukunftsgerichteten Medienpolitik</w:t>
            </w:r>
          </w:p>
          <w:p w14:paraId="6AA60C9A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Mo. Vonlanthen. Pour une politique des médias solide et tournée vers l'avenir, qui permette de renforcer le pluralisme médiatique en Suisse</w:t>
            </w:r>
          </w:p>
          <w:p w14:paraId="7F3E5685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Mo. Vonlanthen. Rafforzare la pluralità mediatica svizzera grazie a una politica mediatica solida e lungimirante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A1FB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F321A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F6FE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D6FAC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C20DED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E9CFB10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876F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8DFF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05C653A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8833E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FA1E3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2C756A" w:rsidRPr="007B04AB">
                <w:rPr>
                  <w:rStyle w:val="Hyperlink"/>
                  <w:b/>
                </w:rPr>
                <w:t>18.3153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25C6D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0AF12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Hêche. Ausbau der Bahnlinie Basel–Biel via Laufen und Delsberg für Doppelstockzüge</w:t>
            </w:r>
          </w:p>
          <w:p w14:paraId="5509077A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Po. Hêche. Aménager la ligne ferroviaire Bâle-Bienne via Laufon et Delémont pour les trains à deux étages</w:t>
            </w:r>
          </w:p>
          <w:p w14:paraId="5670A72A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Po. Hêche. Rendere la linea ferroviaria Basilea–Bienne via Laufen e Delémont agibile per i treni a due piani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9D9E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9AFCF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A952E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9DEA8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DBF7773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55634E4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7FEE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B736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5E5A483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46B2A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FEBE6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2C756A" w:rsidRPr="007B04AB">
                <w:rPr>
                  <w:rStyle w:val="Hyperlink"/>
                  <w:b/>
                </w:rPr>
                <w:t>18.3174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98E88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D9ED2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Kosten der doppelten Sanktionierung im Strassenverkehrsgesetz</w:t>
            </w:r>
          </w:p>
          <w:p w14:paraId="6002A698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Ip. Caroni. Loi sur la circulation routière. Coûts des doubles sanctions</w:t>
            </w:r>
          </w:p>
          <w:p w14:paraId="60BDF9EC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fr-CH"/>
              </w:rPr>
              <w:t xml:space="preserve">Ip. Caroni. </w:t>
            </w:r>
            <w:r w:rsidRPr="00E80F79">
              <w:rPr>
                <w:noProof/>
                <w:lang w:val="it-IT"/>
              </w:rPr>
              <w:t>Costi della doppia sanzione nella legge federale sulla circolazione stradale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9B15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64CCD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D0C72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33F31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26C031C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C00783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D0B3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4735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0B9A688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258BA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2A81F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2C756A" w:rsidRPr="007B04AB">
                <w:rPr>
                  <w:rStyle w:val="Hyperlink"/>
                  <w:b/>
                </w:rPr>
                <w:t>18.3175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86ADB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812DF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Dosisgrenzwerte bei Kernkraftwerken</w:t>
            </w:r>
          </w:p>
          <w:p w14:paraId="7448E181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Po. Müller Damian. Valeurs limites de dose pour les centrales nucléaires</w:t>
            </w:r>
          </w:p>
          <w:p w14:paraId="2B0012AB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Po. Müller Damian. Valori limite di dose per le centrali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8E6E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E7837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6C971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AF0BB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12195E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D63E00B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70F5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4547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5A30047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8B52C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B2052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2C756A" w:rsidRPr="007B04AB">
                <w:rPr>
                  <w:rStyle w:val="Hyperlink"/>
                  <w:b/>
                </w:rPr>
                <w:t>18.3377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39A44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2108C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Comte. Schülertransporte. Die Sicherheit der Kinder geht vor</w:t>
            </w:r>
          </w:p>
          <w:p w14:paraId="6C51AFA3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Mo. Comte. Transport scolaire. La sécurité des enfants prime!</w:t>
            </w:r>
          </w:p>
          <w:p w14:paraId="14CBE5D2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Mo. Comte. Trasporto scolastico. La sicurezza dei bambini prima di tutto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C687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008B3" w14:textId="77777777" w:rsidR="00346BF8" w:rsidRPr="00E80F79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A9DDB" w14:textId="77777777" w:rsidR="00346BF8" w:rsidRPr="00E80F79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6CACD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FEF80F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7F2C45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21E3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E2B4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E80F79" w14:paraId="1EEE1EB7" w14:textId="77777777" w:rsidTr="009E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7F463" w14:textId="77777777" w:rsidR="00E80F79" w:rsidRPr="00230BCC" w:rsidRDefault="00E80F79" w:rsidP="009E6C9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76BC8" w14:textId="77777777" w:rsidR="00E80F79" w:rsidRPr="004C13D5" w:rsidRDefault="001879EE" w:rsidP="009E6C99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E80F79" w:rsidRPr="007B04AB">
                <w:rPr>
                  <w:rStyle w:val="Hyperlink"/>
                  <w:b/>
                </w:rPr>
                <w:t>18.013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EAE32" w14:textId="77777777" w:rsidR="00E80F79" w:rsidRPr="00A026A1" w:rsidRDefault="00E80F79" w:rsidP="009E6C9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DAC7F" w14:textId="77777777" w:rsidR="00E80F79" w:rsidRPr="00B47BB2" w:rsidRDefault="00E80F79" w:rsidP="009E6C99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B47BB2">
              <w:rPr>
                <w:noProof/>
                <w:lang w:val="fr-CH"/>
              </w:rPr>
              <w:t>Bericht</w:t>
            </w:r>
          </w:p>
          <w:p w14:paraId="7E4F798C" w14:textId="77777777" w:rsidR="00E80F79" w:rsidRPr="00B47BB2" w:rsidRDefault="00E80F79" w:rsidP="009E6C99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Délégation auprès de l'Union interparlementaire. </w:t>
            </w:r>
            <w:r w:rsidRPr="00B47BB2">
              <w:rPr>
                <w:noProof/>
                <w:lang w:val="it-IT"/>
              </w:rPr>
              <w:t>Rapport</w:t>
            </w:r>
          </w:p>
          <w:p w14:paraId="49F6E1E6" w14:textId="77777777" w:rsidR="00E80F79" w:rsidRPr="003268EC" w:rsidRDefault="00E80F79" w:rsidP="009E6C99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52014" w14:textId="77777777" w:rsidR="00E80F79" w:rsidRPr="003C6844" w:rsidRDefault="00E80F79" w:rsidP="009E6C99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C6BD8" w14:textId="77777777" w:rsidR="00E80F79" w:rsidRPr="003C6844" w:rsidRDefault="00E80F79" w:rsidP="009E6C99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2095F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95E5B6E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3E63D3E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8226E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DDA490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FEF08B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EE23C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9D430" w14:textId="77777777" w:rsidR="00E80F79" w:rsidRPr="003C6844" w:rsidRDefault="00E80F79" w:rsidP="009E6C99">
            <w:pPr>
              <w:rPr>
                <w:lang w:val="de-CH"/>
              </w:rPr>
            </w:pPr>
          </w:p>
        </w:tc>
      </w:tr>
      <w:tr w:rsidR="00E80F79" w14:paraId="25FC14F3" w14:textId="77777777" w:rsidTr="009E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D0DD3" w14:textId="77777777" w:rsidR="00E80F79" w:rsidRPr="00230BCC" w:rsidRDefault="00E80F79" w:rsidP="009E6C9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82C18" w14:textId="77777777" w:rsidR="00E80F79" w:rsidRPr="004C13D5" w:rsidRDefault="001879EE" w:rsidP="009E6C99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E80F79" w:rsidRPr="007B04AB">
                <w:rPr>
                  <w:rStyle w:val="Hyperlink"/>
                  <w:b/>
                </w:rPr>
                <w:t>18.014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089C1" w14:textId="77777777" w:rsidR="00E80F79" w:rsidRPr="00A026A1" w:rsidRDefault="00E80F79" w:rsidP="009E6C9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1A6AD" w14:textId="77777777" w:rsidR="00E80F79" w:rsidRPr="003268EC" w:rsidRDefault="00E80F79" w:rsidP="009E6C9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7E841489" w14:textId="77777777" w:rsidR="00E80F79" w:rsidRDefault="00E80F79" w:rsidP="009E6C99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2C14B5DF" w14:textId="77777777" w:rsidR="00E80F79" w:rsidRPr="003268EC" w:rsidRDefault="00E80F79" w:rsidP="009E6C9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1E748" w14:textId="77777777" w:rsidR="00E80F79" w:rsidRPr="003C6844" w:rsidRDefault="00E80F79" w:rsidP="009E6C99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282A2" w14:textId="77777777" w:rsidR="00E80F79" w:rsidRPr="003C6844" w:rsidRDefault="00E80F79" w:rsidP="009E6C99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A53A5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BA7D621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0CE8D1F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8D5FF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067B84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BD55BD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F04E1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B280C" w14:textId="77777777" w:rsidR="00E80F79" w:rsidRPr="003C6844" w:rsidRDefault="00E80F79" w:rsidP="009E6C99">
            <w:pPr>
              <w:rPr>
                <w:lang w:val="de-CH"/>
              </w:rPr>
            </w:pPr>
          </w:p>
        </w:tc>
      </w:tr>
      <w:tr w:rsidR="00E80F79" w14:paraId="18993C14" w14:textId="77777777" w:rsidTr="009E6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C77C8" w14:textId="77777777" w:rsidR="00E80F79" w:rsidRPr="00230BCC" w:rsidRDefault="00E80F79" w:rsidP="009E6C9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C14C4" w14:textId="77777777" w:rsidR="00E80F79" w:rsidRPr="004C13D5" w:rsidRDefault="001879EE" w:rsidP="009E6C99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E80F79" w:rsidRPr="007B04AB">
                <w:rPr>
                  <w:rStyle w:val="Hyperlink"/>
                  <w:b/>
                </w:rPr>
                <w:t>18.015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56644" w14:textId="77777777" w:rsidR="00E80F79" w:rsidRPr="00A026A1" w:rsidRDefault="00E80F79" w:rsidP="009E6C9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107FD" w14:textId="77777777" w:rsidR="00E80F79" w:rsidRPr="003268EC" w:rsidRDefault="00E80F79" w:rsidP="009E6C9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44CC1AC0" w14:textId="77777777" w:rsidR="00E80F79" w:rsidRDefault="00E80F79" w:rsidP="009E6C99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652B072C" w14:textId="77777777" w:rsidR="00E80F79" w:rsidRPr="003268EC" w:rsidRDefault="00E80F79" w:rsidP="009E6C9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F1181" w14:textId="77777777" w:rsidR="00E80F79" w:rsidRPr="003C6844" w:rsidRDefault="00E80F79" w:rsidP="009E6C99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F58A1" w14:textId="77777777" w:rsidR="00E80F79" w:rsidRPr="003C6844" w:rsidRDefault="00E80F79" w:rsidP="009E6C99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7FF5D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99C7BB0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341CDCE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11A86" w14:textId="77777777" w:rsidR="00E80F79" w:rsidRPr="003C6844" w:rsidRDefault="00E80F79" w:rsidP="009E6C9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9E3537C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06767E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C8D53" w14:textId="77777777" w:rsidR="00E80F79" w:rsidRPr="003C6844" w:rsidRDefault="00E80F79" w:rsidP="009E6C9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682EA" w14:textId="77777777" w:rsidR="00E80F79" w:rsidRPr="003C6844" w:rsidRDefault="00E80F79" w:rsidP="009E6C99">
            <w:pPr>
              <w:rPr>
                <w:lang w:val="de-CH"/>
              </w:rPr>
            </w:pPr>
          </w:p>
        </w:tc>
      </w:tr>
      <w:tr w:rsidR="00933290" w14:paraId="0A99FE1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2826A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1EA5B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2C756A" w:rsidRPr="007B04AB">
                <w:rPr>
                  <w:rStyle w:val="Hyperlink"/>
                  <w:b/>
                </w:rPr>
                <w:t>17.315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89AB1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37F66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NE. Bedingungen für die Suizidhilfe</w:t>
            </w:r>
          </w:p>
          <w:p w14:paraId="6A8B32B6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Iv.ct. NE. Conditions de l'assistance au suicide</w:t>
            </w:r>
          </w:p>
          <w:p w14:paraId="792554F8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Iv.ct. NE. Condizioni dell'assistenza al suicidio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99AA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F4D3D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Kt.Iv. 1. Phase</w:t>
            </w:r>
          </w:p>
          <w:p w14:paraId="2B730310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Iv.ct. 1re phase</w:t>
            </w:r>
          </w:p>
          <w:p w14:paraId="764957D9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C1445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8627F66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5BE27EC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E679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90A6A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12FF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64C836D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4626F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12620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2C756A" w:rsidRPr="007B04AB">
                <w:rPr>
                  <w:rStyle w:val="Hyperlink"/>
                  <w:b/>
                </w:rPr>
                <w:t>17.319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05F61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8108F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Für einen Transfer der Reserven der KVG-Versicherten bei einem Kassenwechsel</w:t>
            </w:r>
          </w:p>
          <w:p w14:paraId="2A9035C3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Iv.ct. JU. Pour le transfert des réserves des assurés LAMal en cas de changement de caisse</w:t>
            </w:r>
          </w:p>
          <w:p w14:paraId="796B3E52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Iv.ct. JU. Per il trasferimento delle riserve degli assicurati LAMal in caso di cambiamento di cassa malati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2D0B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D3B9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Kt.Iv. 1. Phase</w:t>
            </w:r>
          </w:p>
          <w:p w14:paraId="031D6416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Iv.ct. 1re phase</w:t>
            </w:r>
          </w:p>
          <w:p w14:paraId="1995477B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408F7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D389697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EF5F4CC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D1D1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0B852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BDC8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1411C31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C52A9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C0099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2C756A" w:rsidRPr="007B04AB">
                <w:rPr>
                  <w:rStyle w:val="Hyperlink"/>
                  <w:b/>
                </w:rPr>
                <w:t>15.309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FDA4E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6AB52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SH. Verankerung einer Beschwerdelegitimation des kostenpflichtigen Gemeinwesens gegenüber Kindes- und Erwachsenenschutzmassnahmen der Kesb im ZGB</w:t>
            </w:r>
          </w:p>
          <w:p w14:paraId="1AE7191F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en-US"/>
              </w:rPr>
              <w:t xml:space="preserve">Iv.ct. SH. Code civil. </w:t>
            </w:r>
            <w:r w:rsidRPr="00E80F79">
              <w:rPr>
                <w:noProof/>
                <w:lang w:val="fr-CH"/>
              </w:rPr>
              <w:t>Droit de recours de la corporation publique tenue de prendre en charge les coûts contre des mesures de protection des enfants et des adultes arrêtées par les APEA</w:t>
            </w:r>
          </w:p>
          <w:p w14:paraId="2EBB73CF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Iv.ct. SH. La legittimazione al reclamo dell'ente pubblico tenuto a sostenere spese per misure di protezione dei minori e degli adulti decise dall'APMA dev'essere sancita nel Codice civile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6A07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7E8E0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Kt.Iv. 1. Phase</w:t>
            </w:r>
          </w:p>
          <w:p w14:paraId="6D8DB0D0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Iv.ct. 1re phase</w:t>
            </w:r>
          </w:p>
          <w:p w14:paraId="6FC51ACA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1A1B4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EC56D01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6F38785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2D01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59C82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1E9C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7EA8F1B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54C3B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A19E0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2C756A" w:rsidRPr="007B04AB">
                <w:rPr>
                  <w:rStyle w:val="Hyperlink"/>
                  <w:b/>
                </w:rPr>
                <w:t>17.300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F60D2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225D7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Kt.Iv. GE. Rehabilitierung von sieben wegen der Beteiligung an der Demonstration vom 9. </w:t>
            </w:r>
            <w:r w:rsidRPr="00E80F79">
              <w:rPr>
                <w:noProof/>
                <w:lang w:val="fr-CH"/>
              </w:rPr>
              <w:t>November 1932 verurteilten Personen</w:t>
            </w:r>
          </w:p>
          <w:p w14:paraId="77A282DE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Iv.ct. GE. Réhabilitation des sept manifestants condamnés suite à la manifestation du 9 novembre 1932</w:t>
            </w:r>
          </w:p>
          <w:p w14:paraId="30836FB7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Iv.ct. GE. Riabilitazione dei sette manifestanti condannati a seguito della manifestazione del 9 novembre del 1932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19D1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369FE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Kt.Iv. 1. Phase</w:t>
            </w:r>
          </w:p>
          <w:p w14:paraId="1D9626CB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Iv.ct. 1re phase</w:t>
            </w:r>
          </w:p>
          <w:p w14:paraId="245AF458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C8918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9042F3F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09528FB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1D54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042E3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2DD1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175873E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E7145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C31EC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2C756A" w:rsidRPr="007B04AB">
                <w:rPr>
                  <w:rStyle w:val="Hyperlink"/>
                  <w:b/>
                </w:rPr>
                <w:t>16.435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3D3A6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B4186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Vogt. Überregulierung stoppen! Für jedes neue Gesetz muss ein bestehendes aufgehoben werden ("one in, one out")</w:t>
            </w:r>
          </w:p>
          <w:p w14:paraId="5CDD90B0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Iv.pa. Vogt. Stopper l'inflation normative. Supprimer un texte normatif pour chaque texte normatif nouvellement créé (principe du "un pour un")</w:t>
            </w:r>
          </w:p>
          <w:p w14:paraId="3B049611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Iv.pa. Vogt. Arrestare l'eccesso normativo. Per ogni nuova legge occorre abolirne una vecchia ("one in, one out")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DD3C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17B30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Pa.Iv. 1. Phase</w:t>
            </w:r>
          </w:p>
          <w:p w14:paraId="08CFC5BF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Iv.pa. 1re phase</w:t>
            </w:r>
          </w:p>
          <w:p w14:paraId="25E1D3AE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282E4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0E44603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05EAB1E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7896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FC0E3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Comte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7976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708C2BA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3602D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D7077" w14:textId="77777777" w:rsidR="00346BF8" w:rsidRPr="004C13D5" w:rsidRDefault="001879E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2C756A" w:rsidRPr="007B04AB">
                <w:rPr>
                  <w:rStyle w:val="Hyperlink"/>
                  <w:b/>
                </w:rPr>
                <w:t>16.439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0886E" w14:textId="77777777" w:rsidR="00346BF8" w:rsidRPr="00A026A1" w:rsidRDefault="002C756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EBFE7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Kuprecht. Stärkung der Kantonsautonomie bei den regionalen Stiftungsaufsichten über das BVG</w:t>
            </w:r>
          </w:p>
          <w:p w14:paraId="3C14AF86" w14:textId="77777777" w:rsidR="00933290" w:rsidRPr="00E80F79" w:rsidRDefault="002C756A" w:rsidP="00B207C5">
            <w:pPr>
              <w:rPr>
                <w:lang w:val="fr-CH"/>
              </w:rPr>
            </w:pPr>
            <w:r w:rsidRPr="00E80F79">
              <w:rPr>
                <w:noProof/>
                <w:lang w:val="fr-CH"/>
              </w:rPr>
              <w:t>Iv.pa. Kuprecht. LPP. Renforcer l'autonomie des cantons dans la surveillance régionale des fondations de prévoyance</w:t>
            </w:r>
          </w:p>
          <w:p w14:paraId="009E80C6" w14:textId="77777777" w:rsidR="00346BF8" w:rsidRPr="00E80F79" w:rsidRDefault="002C756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0F79">
              <w:rPr>
                <w:noProof/>
                <w:lang w:val="it-IT"/>
              </w:rPr>
              <w:t>Iv.pa. Kuprecht. Rafforzare tramite la LPP l'autonomia cantonale nell'ambito della vigilanza regionale sulle fondazioni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DE4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24C65" w14:textId="77777777" w:rsidR="00346BF8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Pa.Iv. 1. Phase</w:t>
            </w:r>
          </w:p>
          <w:p w14:paraId="0A1994A3" w14:textId="77777777" w:rsidR="00933290" w:rsidRPr="00E80F79" w:rsidRDefault="002C756A" w:rsidP="00642EDF">
            <w:pPr>
              <w:rPr>
                <w:lang w:val="en-US"/>
              </w:rPr>
            </w:pPr>
            <w:r w:rsidRPr="00E80F79">
              <w:rPr>
                <w:noProof/>
                <w:lang w:val="en-US"/>
              </w:rPr>
              <w:t>Iv.pa. 1re phase</w:t>
            </w:r>
          </w:p>
          <w:p w14:paraId="1267F1CE" w14:textId="77777777" w:rsidR="00346BF8" w:rsidRPr="003C6844" w:rsidRDefault="002C756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43557" w14:textId="77777777" w:rsidR="00933290" w:rsidRPr="003C6844" w:rsidRDefault="002C756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46F2BB6" w14:textId="77777777" w:rsidR="00933290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ECCE8A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73D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5455E" w14:textId="77777777" w:rsidR="00346BF8" w:rsidRPr="003C6844" w:rsidRDefault="002C756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2F27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33290" w14:paraId="2BF0479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45607" w14:textId="77777777" w:rsidR="00346BF8" w:rsidRPr="00230BCC" w:rsidRDefault="002C756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51DCA" w14:textId="77777777" w:rsidR="00346BF8" w:rsidRPr="004C13D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4A0A8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41170" w14:textId="77777777" w:rsidR="00933290" w:rsidRDefault="002C756A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0B8DEFAD" w14:textId="77777777" w:rsidR="00933290" w:rsidRDefault="002C756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5F30683C" w14:textId="77777777" w:rsidR="00346BF8" w:rsidRPr="003268EC" w:rsidRDefault="002C756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B9BF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B2839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2F63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C57D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2FEB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1A47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</w:tbl>
    <w:p w14:paraId="3BF7798C" w14:textId="77777777" w:rsidR="00E822EB" w:rsidRPr="00F946EC" w:rsidRDefault="00E822EB" w:rsidP="00E80F79">
      <w:pPr>
        <w:pStyle w:val="Kopfzeile"/>
        <w:rPr>
          <w:b/>
        </w:rPr>
      </w:pPr>
    </w:p>
    <w:sectPr w:rsidR="00E822EB" w:rsidRPr="00F946EC" w:rsidSect="00C4373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83A99" w14:textId="77777777" w:rsidR="00197FDB" w:rsidRDefault="002C756A">
      <w:r>
        <w:separator/>
      </w:r>
    </w:p>
  </w:endnote>
  <w:endnote w:type="continuationSeparator" w:id="0">
    <w:p w14:paraId="55609F25" w14:textId="77777777" w:rsidR="00197FDB" w:rsidRDefault="002C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26BB0" w14:textId="77777777" w:rsidR="001879EE" w:rsidRDefault="001879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5E27A" w14:textId="77777777" w:rsidR="001879EE" w:rsidRDefault="001879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A27E" w14:textId="77777777" w:rsidR="001879EE" w:rsidRDefault="001879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5F19" w14:textId="77777777" w:rsidR="00197FDB" w:rsidRDefault="002C756A">
      <w:r>
        <w:separator/>
      </w:r>
    </w:p>
  </w:footnote>
  <w:footnote w:type="continuationSeparator" w:id="0">
    <w:p w14:paraId="0F369ADC" w14:textId="77777777" w:rsidR="00197FDB" w:rsidRDefault="002C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7C71" w14:textId="77777777" w:rsidR="001879EE" w:rsidRDefault="001879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6E474" w14:textId="77777777" w:rsidR="001879EE" w:rsidRDefault="001879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33290" w:rsidRPr="001879EE" w14:paraId="3C0DCF05" w14:textId="77777777" w:rsidTr="00B77A5F">
      <w:tc>
        <w:tcPr>
          <w:tcW w:w="6166" w:type="dxa"/>
          <w:gridSpan w:val="3"/>
        </w:tcPr>
        <w:p w14:paraId="26F71590" w14:textId="77777777" w:rsidR="00B207C5" w:rsidRPr="003C72B3" w:rsidRDefault="002C756A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7002F214" w14:textId="7B384255" w:rsidR="00B207C5" w:rsidRPr="00E80F79" w:rsidRDefault="002C756A" w:rsidP="001879EE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933290" w14:paraId="6A0D79A4" w14:textId="77777777" w:rsidTr="00B77A5F">
      <w:tc>
        <w:tcPr>
          <w:tcW w:w="1063" w:type="dxa"/>
        </w:tcPr>
        <w:p w14:paraId="78CBC010" w14:textId="77777777" w:rsidR="00B207C5" w:rsidRDefault="002C756A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27EEC5A" wp14:editId="6A3E2CAF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7786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B94306E" w14:textId="77777777" w:rsidR="00B207C5" w:rsidRDefault="002C756A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E45164E" wp14:editId="6B759B48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18293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12C74D" w14:textId="77777777" w:rsidR="00B207C5" w:rsidRPr="0033750B" w:rsidRDefault="002C756A" w:rsidP="00E80F79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80F79">
            <w:rPr>
              <w:noProof/>
            </w:rPr>
            <w:t>13.06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4E74988F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220084A9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879EE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7FD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56A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1556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290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F79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61E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153" TargetMode="External"/><Relationship Id="rId18" Type="http://schemas.openxmlformats.org/officeDocument/2006/relationships/hyperlink" Target="https://www.parlament.ch/de/ratsbetrieb/suche-curia-vista/geschaeft?AffairId=20180014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31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070" TargetMode="External"/><Relationship Id="rId17" Type="http://schemas.openxmlformats.org/officeDocument/2006/relationships/hyperlink" Target="https://www.parlament.ch/de/ratsbetrieb/suche-curia-vista/geschaeft?AffairId=20180013" TargetMode="External"/><Relationship Id="rId25" Type="http://schemas.openxmlformats.org/officeDocument/2006/relationships/hyperlink" Target="https://www.parlament.ch/de/ratsbetrieb/suche-curia-vista/geschaeft?AffairId=20160439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377" TargetMode="External"/><Relationship Id="rId20" Type="http://schemas.openxmlformats.org/officeDocument/2006/relationships/hyperlink" Target="https://www.parlament.ch/de/ratsbetrieb/suche-curia-vista/geschaeft?AffairId=2017031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3137" TargetMode="External"/><Relationship Id="rId24" Type="http://schemas.openxmlformats.org/officeDocument/2006/relationships/hyperlink" Target="https://www.parlament.ch/de/ratsbetrieb/suche-curia-vista/geschaeft?AffairId=20160435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175" TargetMode="External"/><Relationship Id="rId23" Type="http://schemas.openxmlformats.org/officeDocument/2006/relationships/hyperlink" Target="https://www.parlament.ch/de/ratsbetrieb/suche-curia-vista/geschaeft?AffairId=2017030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15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174" TargetMode="External"/><Relationship Id="rId22" Type="http://schemas.openxmlformats.org/officeDocument/2006/relationships/hyperlink" Target="https://www.parlament.ch/de/ratsbetrieb/suche-curia-vista/geschaeft?AffairId=20150309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2018-06-12T22:00:00+00:00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72EA0-0CE0-4B93-9610-63AEBB9895E4}"/>
</file>

<file path=customXml/itemProps2.xml><?xml version="1.0" encoding="utf-8"?>
<ds:datastoreItem xmlns:ds="http://schemas.openxmlformats.org/officeDocument/2006/customXml" ds:itemID="{D8E54714-0B20-4ABE-9D66-31D059AEBD23}"/>
</file>

<file path=customXml/itemProps3.xml><?xml version="1.0" encoding="utf-8"?>
<ds:datastoreItem xmlns:ds="http://schemas.openxmlformats.org/officeDocument/2006/customXml" ds:itemID="{09DDF1B4-ACA3-421E-8BDF-CD2C05BE0E6A}"/>
</file>

<file path=customXml/itemProps4.xml><?xml version="1.0" encoding="utf-8"?>
<ds:datastoreItem xmlns:ds="http://schemas.openxmlformats.org/officeDocument/2006/customXml" ds:itemID="{217E50AD-7A24-487A-952C-7CBBB5DFB05E}"/>
</file>

<file path=customXml/itemProps5.xml><?xml version="1.0" encoding="utf-8"?>
<ds:datastoreItem xmlns:ds="http://schemas.openxmlformats.org/officeDocument/2006/customXml" ds:itemID="{3FA7F0E5-C099-4838-A748-78AE492E6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6856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2018-06-13T05:43:00Z</dcterms:created>
  <dcterms:modified xsi:type="dcterms:W3CDTF">2018-06-13T09:25:00Z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