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CF2058" w14:paraId="7C98FB4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E3AF1" w14:textId="77777777" w:rsidR="00845E8C" w:rsidRP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82D21" w14:textId="77777777" w:rsid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Juni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88355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20E3C" w14:textId="77777777" w:rsid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F2058" w14:paraId="65F6F99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C805A" w14:textId="77777777" w:rsidR="00845E8C" w:rsidRP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4C0F4" w14:textId="77777777" w:rsidR="00845E8C" w:rsidRPr="008117B0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juin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6B3CB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40314" w14:textId="77777777" w:rsidR="00845E8C" w:rsidRPr="008117B0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F2058" w14:paraId="1361431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31D0E" w14:textId="77777777" w:rsidR="00845E8C" w:rsidRP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E8931" w14:textId="77777777" w:rsid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giugno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B1CDE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4099B" w14:textId="77777777" w:rsidR="00845E8C" w:rsidRDefault="00E23C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CF2058" w14:paraId="64568EB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8BE8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0FDD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78DB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50A3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F2058" w14:paraId="2623408F" w14:textId="77777777" w:rsidTr="00E91EC1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CEF8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EA021" w14:textId="77777777" w:rsidR="00845E8C" w:rsidRPr="003268E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1FCC2" w14:textId="77777777" w:rsidR="00845E8C" w:rsidRPr="003268E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A9888" w14:textId="77777777" w:rsidR="00845E8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ACA957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8D5AE7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29460" w14:textId="77777777" w:rsidR="00845E8C" w:rsidRPr="00E23CEB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2E07F" w14:textId="77777777" w:rsidR="00845E8C" w:rsidRPr="00A15E92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B35C3" w14:textId="77777777" w:rsidR="00845E8C" w:rsidRPr="00A15E92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A5A92" w14:textId="77777777" w:rsidR="00845E8C" w:rsidRPr="003268E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17FFC" w14:textId="77777777" w:rsidR="00845E8C" w:rsidRPr="003268E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7C46F" w14:textId="77777777" w:rsidR="00845E8C" w:rsidRPr="003268E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7A0A6" w14:textId="77777777" w:rsidR="00845E8C" w:rsidRPr="00230BC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07B3" w14:textId="77777777" w:rsidR="00845E8C" w:rsidRDefault="00E23C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F2058" w14:paraId="43C3C8CD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08252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44B7F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11A76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0D3BF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9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2E3806AD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10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3664EED8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B9FB2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Umweltschutzgesetz. Verbot des Inverkehrbringens von illegal geschlagenem Holz</w:t>
            </w:r>
          </w:p>
          <w:p w14:paraId="799A5796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Loi sur la protection de l’environnement. Interdiction de mise sur le marché de bois récolté illégalement</w:t>
            </w:r>
          </w:p>
          <w:p w14:paraId="311F1339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Legge federale sulla protezione dell’ambiente. Divieto di mettere in commercio legname ottenuto illegalmente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143C2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118FB" w14:textId="77777777" w:rsidR="00845E8C" w:rsidRPr="00E23CE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8352B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78C8040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420D19E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68759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D5318DB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7ED53E4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80C80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5DC4469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Girod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502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25996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F2058" w14:paraId="0152A7D2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B3D4F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BDB8F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2F150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06746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12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4506C0C5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13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2F1E2553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C03D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Amstutz. Feldschiessen und historische Schiessen auch nach 2020 ermöglichen</w:t>
            </w:r>
          </w:p>
          <w:p w14:paraId="0FFDAAE5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Iv.pa. Amstutz. Tirs en campagne et tirs historiques. Préservons notre patrimoine culturel au-delà de 2020</w:t>
            </w:r>
          </w:p>
          <w:p w14:paraId="1191D8A7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Iv.pa. Amstutz. Rendere possibile il tiro in campagna e il tiro storico anche dopo il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140C2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E0DE5" w14:textId="77777777" w:rsidR="00845E8C" w:rsidRPr="00E23CEB" w:rsidRDefault="00E23CEB" w:rsidP="00B207C5">
            <w:pPr>
              <w:rPr>
                <w:lang w:val="it-IT"/>
              </w:rPr>
            </w:pPr>
            <w:r w:rsidRPr="00E23CEB">
              <w:rPr>
                <w:noProof/>
                <w:lang w:val="it-IT"/>
              </w:rPr>
              <w:t>Pa.Iv. 2. Phase</w:t>
            </w:r>
          </w:p>
          <w:p w14:paraId="6BB7E59A" w14:textId="77777777" w:rsidR="00CF2058" w:rsidRPr="00E23CEB" w:rsidRDefault="00E23CEB" w:rsidP="00B207C5">
            <w:pPr>
              <w:rPr>
                <w:lang w:val="it-IT"/>
              </w:rPr>
            </w:pPr>
            <w:r w:rsidRPr="00E23CEB">
              <w:rPr>
                <w:noProof/>
                <w:lang w:val="it-IT"/>
              </w:rPr>
              <w:t>Iv.pa. 2e phase</w:t>
            </w:r>
          </w:p>
          <w:p w14:paraId="08F035DE" w14:textId="77777777" w:rsidR="00845E8C" w:rsidRPr="00E23CEB" w:rsidRDefault="00E23CEB" w:rsidP="00B207C5">
            <w:pPr>
              <w:rPr>
                <w:lang w:val="it-IT"/>
              </w:rPr>
            </w:pPr>
            <w:r w:rsidRPr="00E23CEB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F2EF0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2C863E3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CACC5DF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FD4A8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4FDDFF0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A84C8C9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7B59E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3F9F25C5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Imark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8D9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61F11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F2058" w14:paraId="07A52499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CD231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896C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CB0E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B3D47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16A787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C9CB630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62F6B" w14:textId="77777777" w:rsidR="00845E8C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Parlamentarische Initiativen 1. Phase</w:t>
            </w:r>
          </w:p>
          <w:p w14:paraId="7F560FDB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Initiatives parlementaires 1re phase</w:t>
            </w:r>
          </w:p>
          <w:p w14:paraId="23AB4BA8" w14:textId="77777777" w:rsidR="00845E8C" w:rsidRPr="003C6844" w:rsidRDefault="00E23CE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232A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F6ECB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4AA281B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ED15CCA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188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E20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D92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F53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A719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F2058" w14:paraId="063E67E7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9C607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EE4D5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D78E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4E2C2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65BEAF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F51F24D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960E1" w14:textId="77777777" w:rsidR="00845E8C" w:rsidRPr="003C6844" w:rsidRDefault="00E23CE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79968548" w14:textId="77777777" w:rsidR="00CF2058" w:rsidRDefault="00E23CEB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1E840A6D" w14:textId="77777777" w:rsidR="00845E8C" w:rsidRPr="003C6844" w:rsidRDefault="00E23CE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0C76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E58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D40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ED7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29F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514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5E77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F2058" w14:paraId="575289F5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4B2F4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210A8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5EAF3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35807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15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0D14BFAA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16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70099C4B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EAA6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KVG. Stärkung von Qualität und Wirtschaftlichkeit</w:t>
            </w:r>
          </w:p>
          <w:p w14:paraId="7FDFB074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LAMal. Renforcement de la qualité et de l’économicité</w:t>
            </w:r>
          </w:p>
          <w:p w14:paraId="43813D4A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LAMal. Rafforzamento della qualità e deIl‘economicità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91021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CB06E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C59621F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C162A56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2EE73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3627703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37C81A3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611FF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6D3DEC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DED8238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95F02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6BAEA032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4A1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50876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F2058" w:rsidRPr="00527B84" w14:paraId="2D2374AD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355D9" w14:textId="0B1DB30F" w:rsidR="00845E8C" w:rsidRPr="00527B84" w:rsidRDefault="00E23CEB" w:rsidP="00B207C5">
            <w:pPr>
              <w:rPr>
                <w:rFonts w:cs="Arial"/>
                <w:lang w:val="de-CH" w:eastAsia="de-CH"/>
              </w:rPr>
            </w:pPr>
            <w:r w:rsidRPr="00527B84">
              <w:rPr>
                <w:rFonts w:cs="Arial"/>
                <w:lang w:val="de-CH" w:eastAsia="de-CH"/>
              </w:rPr>
              <w:fldChar w:fldCharType="begin"/>
            </w:r>
            <w:r w:rsidRPr="00527B8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11125" w14:textId="77777777" w:rsidR="00845E8C" w:rsidRPr="00527B84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27B84">
              <w:rPr>
                <w:b/>
                <w:noProof/>
                <w:lang w:val="de-DE"/>
              </w:rPr>
              <w:t>18.029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B6B78" w14:textId="77777777" w:rsidR="00845E8C" w:rsidRPr="00527B84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27B84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6A8D2" w14:textId="77777777" w:rsidR="00845E8C" w:rsidRPr="00527B84" w:rsidRDefault="000252C2" w:rsidP="00A15E92">
            <w:pPr>
              <w:rPr>
                <w:rStyle w:val="Lienhypertexte"/>
                <w:b/>
              </w:rPr>
            </w:pPr>
            <w:hyperlink r:id="rId18" w:history="1">
              <w:r w:rsidR="00E23CEB" w:rsidRPr="00527B84">
                <w:rPr>
                  <w:rStyle w:val="Lienhypertexte"/>
                  <w:b/>
                </w:rPr>
                <w:t>DE</w:t>
              </w:r>
            </w:hyperlink>
          </w:p>
          <w:p w14:paraId="1E174C0B" w14:textId="77777777" w:rsidR="00845E8C" w:rsidRPr="00527B84" w:rsidRDefault="000252C2" w:rsidP="00A15E92">
            <w:pPr>
              <w:rPr>
                <w:rStyle w:val="Lienhypertexte"/>
                <w:b/>
              </w:rPr>
            </w:pPr>
            <w:hyperlink r:id="rId19" w:history="1">
              <w:r w:rsidR="00E23CEB" w:rsidRPr="00527B84">
                <w:rPr>
                  <w:rStyle w:val="Lienhypertexte"/>
                  <w:b/>
                </w:rPr>
                <w:t>FR</w:t>
              </w:r>
            </w:hyperlink>
          </w:p>
          <w:p w14:paraId="7ECD0DF8" w14:textId="77777777" w:rsidR="00845E8C" w:rsidRPr="00527B84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E23CEB" w:rsidRPr="00527B8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DEA58" w14:textId="77777777" w:rsidR="00845E8C" w:rsidRPr="00527B84" w:rsidRDefault="00E23CEB" w:rsidP="00B207C5">
            <w:pPr>
              <w:rPr>
                <w:lang w:val="fr-CH"/>
              </w:rPr>
            </w:pPr>
            <w:r w:rsidRPr="00527B84">
              <w:rPr>
                <w:noProof/>
                <w:lang w:val="de-DE"/>
              </w:rPr>
              <w:t xml:space="preserve">Bundesgesetz über den Allgemeinen Teil des Sozialversicherungsrechts (ATSG). </w:t>
            </w:r>
            <w:r w:rsidRPr="00527B84">
              <w:rPr>
                <w:noProof/>
                <w:lang w:val="fr-CH"/>
              </w:rPr>
              <w:t>Änderung</w:t>
            </w:r>
          </w:p>
          <w:p w14:paraId="1433E034" w14:textId="77777777" w:rsidR="00CF2058" w:rsidRPr="00527B84" w:rsidRDefault="00E23CEB" w:rsidP="00B207C5">
            <w:pPr>
              <w:rPr>
                <w:lang w:val="it-IT"/>
              </w:rPr>
            </w:pPr>
            <w:r w:rsidRPr="00527B84">
              <w:rPr>
                <w:noProof/>
                <w:lang w:val="fr-CH"/>
              </w:rPr>
              <w:t xml:space="preserve">Loi sur la partie générale du droit des assurances sociales (LPGA). </w:t>
            </w:r>
            <w:r w:rsidRPr="00527B84">
              <w:rPr>
                <w:noProof/>
                <w:lang w:val="it-IT"/>
              </w:rPr>
              <w:t>Modification</w:t>
            </w:r>
          </w:p>
          <w:p w14:paraId="252CE124" w14:textId="77777777" w:rsidR="00845E8C" w:rsidRPr="00527B84" w:rsidRDefault="00E23CEB" w:rsidP="00B207C5">
            <w:pPr>
              <w:rPr>
                <w:lang w:val="it-CH"/>
              </w:rPr>
            </w:pPr>
            <w:r w:rsidRPr="00527B84">
              <w:rPr>
                <w:noProof/>
                <w:lang w:val="it-IT"/>
              </w:rPr>
              <w:t xml:space="preserve">Legge federale sulla parte generale del diritto delle assicurazioni sociali (LPGA). </w:t>
            </w:r>
            <w:r w:rsidRPr="00527B84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5E909" w14:textId="77777777" w:rsidR="00845E8C" w:rsidRPr="00527B8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9D8A2" w14:textId="77777777" w:rsidR="00CF2058" w:rsidRPr="00527B84" w:rsidRDefault="00E23CEB" w:rsidP="00B207C5">
            <w:pPr>
              <w:rPr>
                <w:noProof/>
                <w:lang w:val="de-CH"/>
              </w:rPr>
            </w:pPr>
            <w:r w:rsidRPr="00527B84">
              <w:rPr>
                <w:noProof/>
                <w:lang w:val="de-CH"/>
              </w:rPr>
              <w:t>Differenzen</w:t>
            </w:r>
          </w:p>
          <w:p w14:paraId="47489AF0" w14:textId="77777777" w:rsidR="00CF2058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Divergences</w:t>
            </w:r>
          </w:p>
          <w:p w14:paraId="476CCC18" w14:textId="77777777" w:rsidR="00845E8C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E8591" w14:textId="77777777" w:rsidR="00CF2058" w:rsidRPr="00527B84" w:rsidRDefault="00E23CEB" w:rsidP="00B207C5">
            <w:pPr>
              <w:rPr>
                <w:noProof/>
                <w:lang w:val="de-CH"/>
              </w:rPr>
            </w:pPr>
            <w:r w:rsidRPr="00527B84">
              <w:rPr>
                <w:noProof/>
                <w:lang w:val="de-CH"/>
              </w:rPr>
              <w:t>SGK</w:t>
            </w:r>
          </w:p>
          <w:p w14:paraId="7AB6E523" w14:textId="77777777" w:rsidR="00CF2058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CSSS</w:t>
            </w:r>
          </w:p>
          <w:p w14:paraId="55816B45" w14:textId="77777777" w:rsidR="00845E8C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D2422" w14:textId="77777777" w:rsidR="00CF2058" w:rsidRPr="00527B84" w:rsidRDefault="00E23CEB" w:rsidP="00B207C5">
            <w:pPr>
              <w:rPr>
                <w:noProof/>
                <w:lang w:val="de-CH"/>
              </w:rPr>
            </w:pPr>
            <w:r w:rsidRPr="00527B84">
              <w:rPr>
                <w:noProof/>
                <w:lang w:val="de-CH"/>
              </w:rPr>
              <w:t>EDI</w:t>
            </w:r>
          </w:p>
          <w:p w14:paraId="6A602608" w14:textId="77777777" w:rsidR="00CF2058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DFI</w:t>
            </w:r>
          </w:p>
          <w:p w14:paraId="05A00083" w14:textId="77777777" w:rsidR="00845E8C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061E0" w14:textId="77777777" w:rsidR="00CF2058" w:rsidRPr="00527B84" w:rsidRDefault="00E23CEB" w:rsidP="00B207C5">
            <w:pPr>
              <w:rPr>
                <w:noProof/>
                <w:lang w:val="de-CH"/>
              </w:rPr>
            </w:pPr>
            <w:r w:rsidRPr="00527B84">
              <w:rPr>
                <w:noProof/>
                <w:lang w:val="de-CH"/>
              </w:rPr>
              <w:t>Clottu</w:t>
            </w:r>
          </w:p>
          <w:p w14:paraId="4EF7C8BB" w14:textId="77777777" w:rsidR="00845E8C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Lohr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C9F87" w14:textId="77777777" w:rsidR="00845E8C" w:rsidRPr="00527B8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BF9B" w14:textId="77777777" w:rsidR="00845E8C" w:rsidRPr="00527B84" w:rsidRDefault="00E23CEB" w:rsidP="00B207C5">
            <w:pPr>
              <w:rPr>
                <w:lang w:val="de-CH"/>
              </w:rPr>
            </w:pPr>
            <w:r w:rsidRPr="00527B84">
              <w:rPr>
                <w:noProof/>
                <w:lang w:val="de-CH"/>
              </w:rPr>
              <w:t>IIIb/IV</w:t>
            </w:r>
          </w:p>
        </w:tc>
      </w:tr>
      <w:tr w:rsidR="00CF2058" w14:paraId="0E33D7AC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FE2BF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A8151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FE8A6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D1B8B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1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7F568B6B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2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362F85AD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816C9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(Borer) Brand. Stärkung der Selbstverantwortung im KVG</w:t>
            </w:r>
          </w:p>
          <w:p w14:paraId="14FF0E2A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Iv.pa. (Borer) Brand. LAMal. Renforcer la responsabilité individuelle</w:t>
            </w:r>
          </w:p>
          <w:p w14:paraId="17CF1F60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Iv.pa. (Borer) Brand. Rafforzamento della responsabilità individuale nella LAMal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36F9A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D5CF5" w14:textId="77777777" w:rsidR="00CF2058" w:rsidRPr="00E23CEB" w:rsidRDefault="00E23CEB" w:rsidP="00B207C5">
            <w:pPr>
              <w:rPr>
                <w:noProof/>
                <w:lang w:val="fr-CH"/>
              </w:rPr>
            </w:pPr>
            <w:r w:rsidRPr="00E23CEB">
              <w:rPr>
                <w:noProof/>
                <w:lang w:val="fr-CH"/>
              </w:rPr>
              <w:t>Nichteintreten</w:t>
            </w:r>
          </w:p>
          <w:p w14:paraId="50B40024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Ne pas entrer en matière</w:t>
            </w:r>
          </w:p>
          <w:p w14:paraId="24763674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3BDA8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E5FB4BE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8A5A74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F28DB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E9F4022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6C4BBD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875F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35302F23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D33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04A6C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F2058" w14:paraId="2F3B77F5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58B11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5041D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B869A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7B963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4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5B0FC3AF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5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06D2FDAC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A74F1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Soziale Sicherheit. Abkommen mit Kosovo</w:t>
            </w:r>
          </w:p>
          <w:p w14:paraId="14452A01" w14:textId="77777777" w:rsidR="00CF2058" w:rsidRPr="00E23CEB" w:rsidRDefault="00E23CEB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Sécurité sociale. </w:t>
            </w:r>
            <w:r w:rsidRPr="00E23CEB">
              <w:rPr>
                <w:noProof/>
                <w:lang w:val="it-IT"/>
              </w:rPr>
              <w:t>Convention avec le Kosovo</w:t>
            </w:r>
          </w:p>
          <w:p w14:paraId="3C6923C8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 xml:space="preserve">Sicurezza sociale. </w:t>
            </w:r>
            <w:r>
              <w:rPr>
                <w:noProof/>
                <w:lang w:val="de-DE"/>
              </w:rPr>
              <w:t>Convenzione con il Kosovo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E8B1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9FC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8F44C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950B77E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89C12DE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CD466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3BD095F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61D63D1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B2EC0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568D7642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E9B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293C3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F2058" w14:paraId="01D580A8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5BCDC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B0902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14.098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55755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44E44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7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25DB603F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28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6C0806AF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55174" w14:textId="77777777" w:rsidR="00845E8C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ELG. Anrechenbare Mietzinsmaxima</w:t>
            </w:r>
          </w:p>
          <w:p w14:paraId="00427595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LPC. Montants maximaux pris en compte au titre du loyer</w:t>
            </w:r>
          </w:p>
          <w:p w14:paraId="10A58F94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LPC. Importi massimi riconosciuti per le spese di pigione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1C7F5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0C3C6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0CC350B5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3BFBF80F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83C27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D882CD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E1EDC1E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F6F73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934EB0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A3EB3D1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538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F50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13405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CF2058" w14:paraId="29DBA4F0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56287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1C969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88EFF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29BE9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0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76E41A39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1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27CF0215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F9F64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Kostendämpfende Apothekerleistungen ermöglichen</w:t>
            </w:r>
          </w:p>
          <w:p w14:paraId="5FE2AF45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Mo. Conseil des Etats (Ettlin Erich). Pharmaciens. Autoriser les prestations qui réduisent les coûts</w:t>
            </w:r>
          </w:p>
          <w:p w14:paraId="166AD225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Mo. Consiglio degli Stati (Ettlin Erich). Consentire prestazioni fornite dai farmacisti suscettibili di contenere 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C9462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53D41" w14:textId="77777777" w:rsidR="00845E8C" w:rsidRPr="00E23CE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BD5A7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EB06F36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1A75B15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E2732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3127896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6A90103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8A6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606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B939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CF2058" w14:paraId="57ECF9CE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34DDF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F572E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03A28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3DE15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3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484BA565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4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1914DE66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5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4A634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Keine zusätzlichen Kosten für unser Gesundheitswesen infolge der Listenumteilung von bisher freiverkäuflichen Arzneimitteln der Liste C in Liste B</w:t>
            </w:r>
          </w:p>
          <w:p w14:paraId="5788E6BD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Mo. CSSS-CN. Le transfert de médicaments en vente libre de la catégorie C à la catégorie B ne doit pas entraîner de coûts supplémentaires pour notre système de santé</w:t>
            </w:r>
          </w:p>
          <w:p w14:paraId="3A08D64C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Mo. CSSS-CN. Il trasferimento dei medicamenti in vendita libera dalla categoria C alla categoria B non deve comportare costi supplementari per il nostro sistema sanitario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20232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AF0CF" w14:textId="77777777" w:rsidR="00845E8C" w:rsidRPr="00E23CE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51B54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F963CBC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A4BC42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70027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2D9948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65E3314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A4A8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9E2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BD091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F2058" w14:paraId="4968FF9F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83757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FE6D6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77E9A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0B223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6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0CBEBA8A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7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0C070119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1E212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Strategie zur Stärkung der frühen Förderung</w:t>
            </w:r>
          </w:p>
          <w:p w14:paraId="400A72AE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Po. CSEC-CN. Stratégie visant à renforcer l’encouragement précoce</w:t>
            </w:r>
          </w:p>
          <w:p w14:paraId="6BDE4225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Po. CSEC-CN. Strategia per rafforzare il sostegno alla prima infanzia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C637A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117A9" w14:textId="77777777" w:rsidR="00845E8C" w:rsidRPr="00E23CE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58E27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AFB4D40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5CF7D59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884CA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5DB21D5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2ADCA2A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16250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Kutter</w:t>
            </w:r>
          </w:p>
          <w:p w14:paraId="01953B42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EFC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A1E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F2058" w14:paraId="54CC9E7F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35565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FED57" w14:textId="77777777" w:rsidR="00845E8C" w:rsidRPr="004C13D5" w:rsidRDefault="00E23CE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100CA" w14:textId="77777777" w:rsidR="00845E8C" w:rsidRPr="00A026A1" w:rsidRDefault="00E23C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82B96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39" w:history="1">
              <w:r w:rsidR="00E23CEB">
                <w:rPr>
                  <w:rStyle w:val="Lienhypertexte"/>
                  <w:b/>
                </w:rPr>
                <w:t>DE</w:t>
              </w:r>
            </w:hyperlink>
          </w:p>
          <w:p w14:paraId="070CEA0B" w14:textId="77777777" w:rsidR="00845E8C" w:rsidRDefault="000252C2" w:rsidP="00A15E92">
            <w:pPr>
              <w:rPr>
                <w:rStyle w:val="Lienhypertexte"/>
                <w:b/>
              </w:rPr>
            </w:pPr>
            <w:hyperlink r:id="rId40" w:history="1">
              <w:r w:rsidR="00E23CEB">
                <w:rPr>
                  <w:rStyle w:val="Lienhypertexte"/>
                  <w:b/>
                </w:rPr>
                <w:t>FR</w:t>
              </w:r>
            </w:hyperlink>
          </w:p>
          <w:p w14:paraId="157B6597" w14:textId="77777777" w:rsidR="00845E8C" w:rsidRPr="00C93153" w:rsidRDefault="000252C2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1" w:history="1">
              <w:r w:rsidR="00E23CE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5112C" w14:textId="77777777" w:rsidR="00845E8C" w:rsidRPr="00E23CEB" w:rsidRDefault="00E23CE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Langfristig bezahlbare Krankenversicherung. Wirksame Kostensenkungs- und Effizienzmassnahmen basieren auf verlässlichen Modellen und Zukunftsszenarien</w:t>
            </w:r>
          </w:p>
          <w:p w14:paraId="09A08B1F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Po. CSSS-CN. Assurance-maladie abordable à long terme. Pour être efficaces, les mesures de baisse des coûts et d'amélioration de l'efficacité doivent se fonder sur des modèles et des scénarios fiables</w:t>
            </w:r>
          </w:p>
          <w:p w14:paraId="6F05D856" w14:textId="77777777" w:rsidR="00845E8C" w:rsidRPr="003C6844" w:rsidRDefault="00E23CEB" w:rsidP="00B207C5">
            <w:pPr>
              <w:rPr>
                <w:lang w:val="it-CH"/>
              </w:rPr>
            </w:pPr>
            <w:r w:rsidRPr="00E23CEB">
              <w:rPr>
                <w:noProof/>
                <w:lang w:val="it-IT"/>
              </w:rPr>
              <w:t>Po. CSSS-CN. Un'assicurazione malattie a prezzi accessibili a lungo termine. Le misure in materia di efficienza e riduzione dei costi sono efficaci se si basano su modelli e scenari futuri attendibili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93E4C" w14:textId="77777777" w:rsidR="00845E8C" w:rsidRPr="00E23CE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7C88B" w14:textId="77777777" w:rsidR="00845E8C" w:rsidRPr="00E23CE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55BA7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D9A09E2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79F260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42D75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660C083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8C647B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A276C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05874250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7B60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E0E05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F2058" w14:paraId="240486C5" w14:textId="77777777" w:rsidTr="00E91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94F52" w14:textId="77777777" w:rsidR="00845E8C" w:rsidRPr="00230BCC" w:rsidRDefault="00E23CE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4C6D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C2B7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BA75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89019F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B40CC48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9BECD" w14:textId="77777777" w:rsidR="00845E8C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Parlamentarische Vorstösse in Kategorie IV</w:t>
            </w:r>
          </w:p>
          <w:p w14:paraId="15496D61" w14:textId="77777777" w:rsidR="00CF2058" w:rsidRPr="00E23CEB" w:rsidRDefault="00E23CEB" w:rsidP="00B207C5">
            <w:pPr>
              <w:rPr>
                <w:lang w:val="fr-CH"/>
              </w:rPr>
            </w:pPr>
            <w:r w:rsidRPr="00E23CEB">
              <w:rPr>
                <w:noProof/>
                <w:lang w:val="fr-CH"/>
              </w:rPr>
              <w:t>Interventions parlementaires de catégorie IV</w:t>
            </w:r>
          </w:p>
          <w:p w14:paraId="3CF5F0D7" w14:textId="77777777" w:rsidR="00845E8C" w:rsidRPr="003C6844" w:rsidRDefault="00E23CEB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5305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C30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FC9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4F5AD" w14:textId="77777777" w:rsidR="00CF2058" w:rsidRPr="003C6844" w:rsidRDefault="00E23CE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FE1CFA0" w14:textId="77777777" w:rsidR="00CF2058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4E72EE7" w14:textId="77777777" w:rsidR="00845E8C" w:rsidRPr="003C6844" w:rsidRDefault="00E23CE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F1E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0D7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952A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F2058" w:rsidRPr="000252C2" w14:paraId="75BB13B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CB2EC96" w14:textId="77777777" w:rsidR="00845E8C" w:rsidRPr="00E23CEB" w:rsidRDefault="00E23CEB" w:rsidP="00133AB0">
            <w:pPr>
              <w:keepLines/>
              <w:rPr>
                <w:lang w:val="de-CH"/>
              </w:rPr>
            </w:pPr>
            <w:r w:rsidRPr="00E23CEB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E23CEB">
              <w:rPr>
                <w:rFonts w:cs="Arial"/>
                <w:noProof/>
                <w:lang w:val="de-CH"/>
              </w:rPr>
              <w:t>Gebündelte Abstimmungen über alle parlamentarischen Initiativen zirka 12.45 Uhr</w:t>
            </w:r>
          </w:p>
          <w:p w14:paraId="572B1919" w14:textId="77777777" w:rsidR="00CF2058" w:rsidRDefault="00E23CEB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initiatives parlementaires vers 12h45</w:t>
            </w:r>
          </w:p>
          <w:p w14:paraId="2B6EAF6C" w14:textId="77777777" w:rsidR="00845E8C" w:rsidRPr="00E23CEB" w:rsidRDefault="00E23CEB" w:rsidP="00133AB0">
            <w:pPr>
              <w:keepLines/>
              <w:rPr>
                <w:lang w:val="it-IT"/>
              </w:rPr>
            </w:pPr>
            <w:r w:rsidRPr="00E23CEB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  <w:p w14:paraId="504C85D2" w14:textId="77777777" w:rsidR="00845E8C" w:rsidRPr="00E23CEB" w:rsidRDefault="00E23CEB" w:rsidP="00133AB0">
            <w:pPr>
              <w:keepLines/>
              <w:rPr>
                <w:lang w:val="de-CH"/>
              </w:rPr>
            </w:pPr>
            <w:r w:rsidRPr="00E23CEB">
              <w:rPr>
                <w:noProof/>
                <w:vertAlign w:val="superscript"/>
                <w:lang w:val="de-CH"/>
              </w:rPr>
              <w:t>2</w:t>
            </w:r>
            <w:r w:rsidRPr="00E23CEB">
              <w:rPr>
                <w:rFonts w:cs="Arial"/>
                <w:noProof/>
                <w:lang w:val="de-CH"/>
              </w:rPr>
              <w:t>Gebündelte Abstimmungen über alle parlamentarischen Vorstösse zirka 18.45 Uhr</w:t>
            </w:r>
          </w:p>
          <w:p w14:paraId="22B69CFC" w14:textId="77777777" w:rsidR="00CF2058" w:rsidRDefault="00E23CEB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interventions parlementaires vers 18h45</w:t>
            </w:r>
          </w:p>
          <w:p w14:paraId="52B14544" w14:textId="77777777" w:rsidR="00845E8C" w:rsidRPr="00E23CEB" w:rsidRDefault="00E23CEB" w:rsidP="00133AB0">
            <w:pPr>
              <w:keepLines/>
              <w:rPr>
                <w:lang w:val="it-IT"/>
              </w:rPr>
            </w:pPr>
            <w:r w:rsidRPr="00E23CEB">
              <w:rPr>
                <w:rFonts w:cs="Arial"/>
                <w:noProof/>
                <w:lang w:val="it-IT"/>
              </w:rPr>
              <w:t xml:space="preserve">Voti raggruppati su tutte gli interventi parlamentari verso le ore 18.45 </w:t>
            </w:r>
          </w:p>
        </w:tc>
      </w:tr>
    </w:tbl>
    <w:p w14:paraId="24F1829F" w14:textId="77777777" w:rsidR="00CF2058" w:rsidRPr="00E23CEB" w:rsidRDefault="00CF2058">
      <w:pPr>
        <w:rPr>
          <w:lang w:val="it-IT"/>
        </w:rPr>
      </w:pPr>
    </w:p>
    <w:sectPr w:rsidR="00CF2058" w:rsidRPr="00E23CE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2C2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B84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4FD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50B2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2058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CEB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EC1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400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50486" TargetMode="External"/><Relationship Id="rId18" Type="http://schemas.openxmlformats.org/officeDocument/2006/relationships/hyperlink" Target="https://www.parlament.ch/de/ratsbetrieb/suche-curia-vista/geschaeft?AffairId=20180029" TargetMode="External"/><Relationship Id="rId26" Type="http://schemas.openxmlformats.org/officeDocument/2006/relationships/hyperlink" Target="https://www.parlament.ch/it/ratsbetrieb/suche-curia-vista/geschaeft?AffairId=20180086" TargetMode="External"/><Relationship Id="rId39" Type="http://schemas.openxmlformats.org/officeDocument/2006/relationships/hyperlink" Target="https://www.parlament.ch/de/ratsbetrieb/suche-curia-vista/geschaeft?AffairId=201934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50468" TargetMode="External"/><Relationship Id="rId34" Type="http://schemas.openxmlformats.org/officeDocument/2006/relationships/hyperlink" Target="https://www.parlament.ch/fr/ratsbetrieb/suche-curia-vista/geschaeft?AffairId=20193005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50486" TargetMode="External"/><Relationship Id="rId17" Type="http://schemas.openxmlformats.org/officeDocument/2006/relationships/hyperlink" Target="https://www.parlament.ch/it/ratsbetrieb/suche-curia-vista/geschaeft?AffairId=20150083" TargetMode="External"/><Relationship Id="rId25" Type="http://schemas.openxmlformats.org/officeDocument/2006/relationships/hyperlink" Target="https://www.parlament.ch/fr/ratsbetrieb/suche-curia-vista/geschaeft?AffairId=20180086" TargetMode="External"/><Relationship Id="rId33" Type="http://schemas.openxmlformats.org/officeDocument/2006/relationships/hyperlink" Target="https://www.parlament.ch/de/ratsbetrieb/suche-curia-vista/geschaeft?AffairId=20193005" TargetMode="External"/><Relationship Id="rId38" Type="http://schemas.openxmlformats.org/officeDocument/2006/relationships/hyperlink" Target="https://www.parlament.ch/it/ratsbetrieb/suche-curia-vista/geschaeft?AffairId=201934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0083" TargetMode="External"/><Relationship Id="rId20" Type="http://schemas.openxmlformats.org/officeDocument/2006/relationships/hyperlink" Target="https://www.parlament.ch/it/ratsbetrieb/suche-curia-vista/geschaeft?AffairId=20180029" TargetMode="External"/><Relationship Id="rId29" Type="http://schemas.openxmlformats.org/officeDocument/2006/relationships/hyperlink" Target="https://www.parlament.ch/it/ratsbetrieb/suche-curia-vista/geschaeft?AffairId=20140098" TargetMode="External"/><Relationship Id="rId41" Type="http://schemas.openxmlformats.org/officeDocument/2006/relationships/hyperlink" Target="https://www.parlament.ch/it/ratsbetrieb/suche-curia-vista/geschaeft?AffairId=2019342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95" TargetMode="External"/><Relationship Id="rId24" Type="http://schemas.openxmlformats.org/officeDocument/2006/relationships/hyperlink" Target="https://www.parlament.ch/de/ratsbetrieb/suche-curia-vista/geschaeft?AffairId=20180086" TargetMode="External"/><Relationship Id="rId32" Type="http://schemas.openxmlformats.org/officeDocument/2006/relationships/hyperlink" Target="https://www.parlament.ch/it/ratsbetrieb/suche-curia-vista/geschaeft?AffairId=20184079" TargetMode="External"/><Relationship Id="rId37" Type="http://schemas.openxmlformats.org/officeDocument/2006/relationships/hyperlink" Target="https://www.parlament.ch/fr/ratsbetrieb/suche-curia-vista/geschaeft?AffairId=20193417" TargetMode="External"/><Relationship Id="rId40" Type="http://schemas.openxmlformats.org/officeDocument/2006/relationships/hyperlink" Target="https://www.parlament.ch/fr/ratsbetrieb/suche-curia-vista/geschaeft?AffairId=2019342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0083" TargetMode="External"/><Relationship Id="rId23" Type="http://schemas.openxmlformats.org/officeDocument/2006/relationships/hyperlink" Target="https://www.parlament.ch/it/ratsbetrieb/suche-curia-vista/geschaeft?AffairId=20150468" TargetMode="External"/><Relationship Id="rId28" Type="http://schemas.openxmlformats.org/officeDocument/2006/relationships/hyperlink" Target="https://www.parlament.ch/fr/ratsbetrieb/suche-curia-vista/geschaeft?AffairId=20140098" TargetMode="External"/><Relationship Id="rId36" Type="http://schemas.openxmlformats.org/officeDocument/2006/relationships/hyperlink" Target="https://www.parlament.ch/de/ratsbetrieb/suche-curia-vista/geschaeft?AffairId=20193417" TargetMode="External"/><Relationship Id="rId10" Type="http://schemas.openxmlformats.org/officeDocument/2006/relationships/hyperlink" Target="https://www.parlament.ch/fr/ratsbetrieb/suche-curia-vista/geschaeft?AffairId=20180095" TargetMode="External"/><Relationship Id="rId19" Type="http://schemas.openxmlformats.org/officeDocument/2006/relationships/hyperlink" Target="https://www.parlament.ch/fr/ratsbetrieb/suche-curia-vista/geschaeft?AffairId=20180029" TargetMode="External"/><Relationship Id="rId31" Type="http://schemas.openxmlformats.org/officeDocument/2006/relationships/hyperlink" Target="https://www.parlament.ch/fr/ratsbetrieb/suche-curia-vista/geschaeft?AffairId=2018407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95" TargetMode="External"/><Relationship Id="rId14" Type="http://schemas.openxmlformats.org/officeDocument/2006/relationships/hyperlink" Target="https://www.parlament.ch/it/ratsbetrieb/suche-curia-vista/geschaeft?AffairId=20150486" TargetMode="External"/><Relationship Id="rId22" Type="http://schemas.openxmlformats.org/officeDocument/2006/relationships/hyperlink" Target="https://www.parlament.ch/fr/ratsbetrieb/suche-curia-vista/geschaeft?AffairId=20150468" TargetMode="External"/><Relationship Id="rId27" Type="http://schemas.openxmlformats.org/officeDocument/2006/relationships/hyperlink" Target="https://www.parlament.ch/de/ratsbetrieb/suche-curia-vista/geschaeft?AffairId=20140098" TargetMode="External"/><Relationship Id="rId30" Type="http://schemas.openxmlformats.org/officeDocument/2006/relationships/hyperlink" Target="https://www.parlament.ch/de/ratsbetrieb/suche-curia-vista/geschaeft?AffairId=20184079" TargetMode="External"/><Relationship Id="rId35" Type="http://schemas.openxmlformats.org/officeDocument/2006/relationships/hyperlink" Target="https://www.parlament.ch/it/ratsbetrieb/suche-curia-vista/geschaeft?AffairId=2019300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2019-06-03T22:00:00+00:00</Dokumentendatum>
    <Dokumententyp xmlns="673932bc-7c50-4e93-afe1-7c692330eb19">Tagesordnung--Ordre du jour</Dokumententyp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7F752-97D6-4BEC-AF27-24E0F09F4061}"/>
</file>

<file path=customXml/itemProps2.xml><?xml version="1.0" encoding="utf-8"?>
<ds:datastoreItem xmlns:ds="http://schemas.openxmlformats.org/officeDocument/2006/customXml" ds:itemID="{47379827-42F6-420C-B2F8-7E4CF9F05DDF}"/>
</file>

<file path=customXml/itemProps3.xml><?xml version="1.0" encoding="utf-8"?>
<ds:datastoreItem xmlns:ds="http://schemas.openxmlformats.org/officeDocument/2006/customXml" ds:itemID="{D11CB346-B092-4CBC-BE2D-FA2A27984992}"/>
</file>

<file path=customXml/itemProps4.xml><?xml version="1.0" encoding="utf-8"?>
<ds:datastoreItem xmlns:ds="http://schemas.openxmlformats.org/officeDocument/2006/customXml" ds:itemID="{0BF59A0A-ABAE-412F-A261-A8D7C3E8C943}"/>
</file>

<file path=customXml/itemProps5.xml><?xml version="1.0" encoding="utf-8"?>
<ds:datastoreItem xmlns:ds="http://schemas.openxmlformats.org/officeDocument/2006/customXml" ds:itemID="{D72B3A6C-634A-420C-B35F-CACC6F1E2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7954</Characters>
  <Application>Microsoft Office Word</Application>
  <DocSecurity>0</DocSecurity>
  <Lines>66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2019-06-04T05:27:00Z</dcterms:created>
  <dcterms:modified xsi:type="dcterms:W3CDTF">2019-06-04T12:12:00Z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