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B44F1" w14:textId="77777777" w:rsidR="00976B30" w:rsidRPr="003A77EA" w:rsidRDefault="00976B30" w:rsidP="003A77EA">
      <w:bookmarkStart w:id="0" w:name="c25ca6c1-e29b-4854-bd5d-ad8d010b1a11"/>
      <w:bookmarkEnd w:id="0"/>
    </w:p>
    <w:p w14:paraId="3460C7A4" w14:textId="77777777" w:rsidR="00E403DD" w:rsidRDefault="00637294">
      <w:r>
        <w:rPr>
          <w:rFonts w:eastAsia="Arial" w:cs="Arial"/>
          <w:b/>
          <w:sz w:val="20"/>
        </w:rPr>
        <w:t>Parlamentarische Vorstösse in Kategorie IV</w:t>
      </w:r>
    </w:p>
    <w:p w14:paraId="7FD79C3E" w14:textId="77777777" w:rsidR="00E403DD" w:rsidRDefault="00637294">
      <w:r>
        <w:rPr>
          <w:rFonts w:eastAsia="Arial" w:cs="Arial"/>
          <w:b/>
          <w:sz w:val="20"/>
        </w:rPr>
        <w:t>Interventions parlementaires de catégorie IV</w:t>
      </w:r>
    </w:p>
    <w:p w14:paraId="0D91E32C" w14:textId="77777777" w:rsidR="00E403DD" w:rsidRPr="0095019E" w:rsidRDefault="00637294">
      <w:pPr>
        <w:rPr>
          <w:lang w:val="de-CH"/>
        </w:rPr>
      </w:pPr>
      <w:r w:rsidRPr="0095019E">
        <w:rPr>
          <w:rFonts w:eastAsia="Arial" w:cs="Arial"/>
          <w:b/>
          <w:sz w:val="20"/>
          <w:lang w:val="de-CH"/>
        </w:rPr>
        <w:t>Interventi della categoria IV</w:t>
      </w:r>
    </w:p>
    <w:p w14:paraId="30C4D126" w14:textId="77777777" w:rsidR="00E403DD" w:rsidRPr="0095019E" w:rsidRDefault="00E403DD">
      <w:pPr>
        <w:rPr>
          <w:lang w:val="de-CH"/>
        </w:rPr>
      </w:pPr>
    </w:p>
    <w:p w14:paraId="09986132" w14:textId="77777777" w:rsidR="00E403DD" w:rsidRPr="0095019E" w:rsidRDefault="00E403DD">
      <w:pPr>
        <w:rPr>
          <w:lang w:val="de-CH"/>
        </w:rPr>
      </w:pPr>
    </w:p>
    <w:p w14:paraId="35D56C18" w14:textId="77777777" w:rsidR="00E403DD" w:rsidRPr="0095019E" w:rsidRDefault="00637294">
      <w:pPr>
        <w:rPr>
          <w:lang w:val="de-CH"/>
        </w:rPr>
      </w:pPr>
      <w:r w:rsidRPr="0095019E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57A09FA5" w14:textId="77777777" w:rsidR="00E403DD" w:rsidRDefault="00637294">
      <w:r>
        <w:rPr>
          <w:rFonts w:eastAsia="Arial" w:cs="Arial"/>
          <w:b/>
          <w:sz w:val="20"/>
        </w:rPr>
        <w:t>Département  de l'environnement, des transports, de l'énergie et de la communication</w:t>
      </w:r>
    </w:p>
    <w:p w14:paraId="48196F5B" w14:textId="77777777" w:rsidR="00E403DD" w:rsidRPr="0095019E" w:rsidRDefault="00637294">
      <w:pPr>
        <w:rPr>
          <w:lang w:val="it-CH"/>
        </w:rPr>
      </w:pPr>
      <w:r w:rsidRPr="0095019E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p w14:paraId="12D1DDEA" w14:textId="77777777" w:rsidR="00E403DD" w:rsidRPr="0095019E" w:rsidRDefault="00E403DD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714"/>
        <w:gridCol w:w="1220"/>
        <w:gridCol w:w="1239"/>
        <w:gridCol w:w="855"/>
        <w:gridCol w:w="2129"/>
      </w:tblGrid>
      <w:tr w:rsidR="00E403DD" w14:paraId="2130611D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83B040C" w14:textId="77777777" w:rsidR="00E403DD" w:rsidRDefault="00637294">
            <w:r>
              <w:rPr>
                <w:rFonts w:eastAsia="Arial" w:cs="Arial"/>
                <w:b/>
                <w:sz w:val="12"/>
              </w:rPr>
              <w:t>Nr.</w:t>
            </w:r>
          </w:p>
          <w:p w14:paraId="2B16F004" w14:textId="77777777" w:rsidR="00E403DD" w:rsidRDefault="00637294">
            <w:r>
              <w:rPr>
                <w:rFonts w:eastAsia="Arial" w:cs="Arial"/>
                <w:b/>
                <w:sz w:val="12"/>
              </w:rPr>
              <w:t>No.</w:t>
            </w:r>
          </w:p>
          <w:p w14:paraId="2A029103" w14:textId="77777777" w:rsidR="00E403DD" w:rsidRDefault="00637294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F81E579" w14:textId="77777777" w:rsidR="00E403DD" w:rsidRDefault="00637294">
            <w:r>
              <w:rPr>
                <w:rFonts w:eastAsia="Arial" w:cs="Arial"/>
                <w:b/>
                <w:sz w:val="12"/>
              </w:rPr>
              <w:t>Rat</w:t>
            </w:r>
          </w:p>
          <w:p w14:paraId="754D3470" w14:textId="77777777" w:rsidR="00E403DD" w:rsidRDefault="00637294">
            <w:r>
              <w:rPr>
                <w:rFonts w:eastAsia="Arial" w:cs="Arial"/>
                <w:b/>
                <w:sz w:val="12"/>
              </w:rPr>
              <w:t>Cons.</w:t>
            </w:r>
          </w:p>
          <w:p w14:paraId="2DE19297" w14:textId="77777777" w:rsidR="00E403DD" w:rsidRDefault="00637294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1C185E5" w14:textId="77777777" w:rsidR="00E403DD" w:rsidRDefault="00637294">
            <w:r>
              <w:rPr>
                <w:rFonts w:eastAsia="Arial" w:cs="Arial"/>
                <w:b/>
                <w:sz w:val="12"/>
              </w:rPr>
              <w:t>Curia</w:t>
            </w:r>
          </w:p>
          <w:p w14:paraId="383A7044" w14:textId="77777777" w:rsidR="00E403DD" w:rsidRDefault="00637294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4F1C4E2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3A1AE652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3502B7EC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456B44C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4D4FA019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02BDCCC8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65C523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49489733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00DD54F3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10A473" w14:textId="77777777" w:rsidR="00E403DD" w:rsidRDefault="00637294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0781B622" w14:textId="77777777" w:rsidR="00E403DD" w:rsidRDefault="00637294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634F9F1" w14:textId="77777777" w:rsidR="00E403DD" w:rsidRDefault="00637294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9653FE3" w14:textId="77777777" w:rsidR="00E403DD" w:rsidRDefault="00637294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0C5096D3" w14:textId="77777777" w:rsidR="00E403DD" w:rsidRDefault="00637294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AB6C857" w14:textId="77777777" w:rsidR="00E403DD" w:rsidRDefault="00637294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E403DD" w14:paraId="70F3C222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0A4F27" w14:textId="271D3FB8" w:rsidR="00A64BF8" w:rsidRDefault="00637294">
            <w:r>
              <w:rPr>
                <w:rFonts w:eastAsia="Arial" w:cs="Arial"/>
                <w:b/>
              </w:rPr>
              <w:t>21.3076</w:t>
            </w:r>
          </w:p>
          <w:p w14:paraId="55F075A2" w14:textId="77777777" w:rsidR="00A64BF8" w:rsidRPr="00A64BF8" w:rsidRDefault="00A64BF8" w:rsidP="00A64BF8"/>
          <w:p w14:paraId="452C3980" w14:textId="77777777" w:rsidR="00A64BF8" w:rsidRPr="00A64BF8" w:rsidRDefault="00A64BF8" w:rsidP="00A64BF8"/>
          <w:p w14:paraId="3247B4F6" w14:textId="77777777" w:rsidR="00A64BF8" w:rsidRPr="00A64BF8" w:rsidRDefault="00A64BF8" w:rsidP="00A64BF8"/>
          <w:p w14:paraId="129B7C25" w14:textId="77777777" w:rsidR="00A64BF8" w:rsidRPr="00A64BF8" w:rsidRDefault="00A64BF8" w:rsidP="00A64BF8"/>
          <w:p w14:paraId="28222B1F" w14:textId="4DC1C54C" w:rsidR="00E403DD" w:rsidRPr="00A64BF8" w:rsidRDefault="00E403DD" w:rsidP="00A64BF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8B7F29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9A0243" w14:textId="77777777" w:rsidR="00E403DD" w:rsidRDefault="00A64BF8">
            <w:pPr>
              <w:pStyle w:val="Normal0"/>
            </w:pPr>
            <w:hyperlink r:id="rId1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755B148" w14:textId="77777777" w:rsidR="00E403DD" w:rsidRDefault="00A64BF8">
            <w:pPr>
              <w:pStyle w:val="Normal1"/>
            </w:pPr>
            <w:hyperlink r:id="rId1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7F1B68" w14:textId="77777777" w:rsidR="00E403DD" w:rsidRDefault="00A64BF8">
            <w:pPr>
              <w:pStyle w:val="Normal2"/>
            </w:pPr>
            <w:hyperlink r:id="rId1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4B2F30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Po. Storni. Aktualisierung der Szenarien betreffend die Entwicklung des alpenquerenden Güterverkehrs</w:t>
            </w:r>
          </w:p>
          <w:p w14:paraId="5F5E0613" w14:textId="77777777" w:rsidR="00E403DD" w:rsidRPr="0095019E" w:rsidRDefault="00637294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Storni. Évolution du trafic marchandises à travers les Alpes. </w:t>
            </w:r>
            <w:r w:rsidRPr="0095019E">
              <w:rPr>
                <w:rFonts w:eastAsia="Arial" w:cs="Arial"/>
                <w:lang w:val="it-CH"/>
              </w:rPr>
              <w:t>Actualisation des scénarios</w:t>
            </w:r>
          </w:p>
          <w:p w14:paraId="351BE53D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Po. Storni. Aggiornamento degli scenari di sviluppo del traffico merci attraverso le Alpi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363153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F00A9" w14:textId="77777777" w:rsidR="00E403DD" w:rsidRDefault="00637294">
            <w:r>
              <w:rPr>
                <w:rFonts w:eastAsia="Arial" w:cs="Arial"/>
              </w:rPr>
              <w:t>Giezendanner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99467C" w14:textId="77777777" w:rsidR="00E403DD" w:rsidRDefault="00637294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31DCE4" w14:textId="77777777" w:rsidR="00E403DD" w:rsidRDefault="00637294">
            <w:r>
              <w:rPr>
                <w:rFonts w:eastAsia="Arial" w:cs="Arial"/>
              </w:rPr>
              <w:t>✔</w:t>
            </w:r>
          </w:p>
        </w:tc>
      </w:tr>
      <w:tr w:rsidR="00E403DD" w14:paraId="3F6DB845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6B921B" w14:textId="1B3F65AE" w:rsidR="00A64BF8" w:rsidRDefault="00637294">
            <w:r>
              <w:rPr>
                <w:rFonts w:eastAsia="Arial" w:cs="Arial"/>
                <w:b/>
              </w:rPr>
              <w:t>21.3329</w:t>
            </w:r>
          </w:p>
          <w:p w14:paraId="17E0452A" w14:textId="77777777" w:rsidR="00A64BF8" w:rsidRPr="00A64BF8" w:rsidRDefault="00A64BF8" w:rsidP="00A64BF8"/>
          <w:p w14:paraId="0EED1AEE" w14:textId="77777777" w:rsidR="00A64BF8" w:rsidRPr="00A64BF8" w:rsidRDefault="00A64BF8" w:rsidP="00A64BF8"/>
          <w:p w14:paraId="556A4AA8" w14:textId="77777777" w:rsidR="00A64BF8" w:rsidRPr="00A64BF8" w:rsidRDefault="00A64BF8" w:rsidP="00A64BF8"/>
          <w:p w14:paraId="789B5259" w14:textId="77777777" w:rsidR="00A64BF8" w:rsidRPr="00A64BF8" w:rsidRDefault="00A64BF8" w:rsidP="00A64BF8"/>
          <w:p w14:paraId="6A2C8087" w14:textId="6B9CC76B" w:rsidR="00E403DD" w:rsidRPr="00A64BF8" w:rsidRDefault="00E403DD" w:rsidP="00A64BF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D0EFA7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8684FB" w14:textId="77777777" w:rsidR="00E403DD" w:rsidRDefault="00A64BF8">
            <w:pPr>
              <w:pStyle w:val="Normal3"/>
            </w:pPr>
            <w:hyperlink r:id="rId1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0A84436" w14:textId="77777777" w:rsidR="00E403DD" w:rsidRDefault="00A64BF8">
            <w:pPr>
              <w:pStyle w:val="Normal4"/>
            </w:pPr>
            <w:hyperlink r:id="rId1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4D99D7" w14:textId="77777777" w:rsidR="00E403DD" w:rsidRDefault="00A64BF8">
            <w:pPr>
              <w:pStyle w:val="Normal5"/>
            </w:pPr>
            <w:hyperlink r:id="rId1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13CABA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Po. Brenzikofer. Finanzielle Anreize zur Vereinheitlichung der Tarifstrukturen im öffentlichen Verkehr</w:t>
            </w:r>
          </w:p>
          <w:p w14:paraId="6054F5F2" w14:textId="77777777" w:rsidR="00E403DD" w:rsidRDefault="00637294">
            <w:r>
              <w:rPr>
                <w:rFonts w:eastAsia="Arial" w:cs="Arial"/>
              </w:rPr>
              <w:t>Po. Brenzikofer. Pour des incitations financières destinées à harmoniser les structures tarifaires des transports publics</w:t>
            </w:r>
          </w:p>
          <w:p w14:paraId="366C1D7B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Po. Brenzikofer. Incentivi finanziari per uniformare le strutture tariffarie nei trasporti pubblici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B3C5FB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BF2744" w14:textId="77777777" w:rsidR="00E403DD" w:rsidRDefault="00637294">
            <w:r>
              <w:rPr>
                <w:rFonts w:eastAsia="Arial" w:cs="Arial"/>
              </w:rPr>
              <w:t>Sollberger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5249ED" w14:textId="77777777" w:rsidR="00E403DD" w:rsidRDefault="00637294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CF852C" w14:textId="39565AF0" w:rsidR="008E1D96" w:rsidRDefault="006372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✔</w:t>
            </w:r>
          </w:p>
          <w:p w14:paraId="40EB7A43" w14:textId="77777777" w:rsidR="00FB476F" w:rsidRDefault="00FB476F">
            <w:pPr>
              <w:rPr>
                <w:rFonts w:eastAsia="Arial" w:cs="Arial"/>
              </w:rPr>
            </w:pPr>
          </w:p>
          <w:p w14:paraId="22D862A8" w14:textId="77777777" w:rsidR="00071428" w:rsidRPr="00071428" w:rsidRDefault="00071428">
            <w:pPr>
              <w:rPr>
                <w:b/>
              </w:rPr>
            </w:pPr>
            <w:r w:rsidRPr="00071428">
              <w:rPr>
                <w:b/>
              </w:rPr>
              <w:t>Bekämpfung zurück-</w:t>
            </w:r>
          </w:p>
          <w:p w14:paraId="6EEAC3FD" w14:textId="594BCFCB" w:rsidR="00E403DD" w:rsidRDefault="00071428">
            <w:r w:rsidRPr="00071428">
              <w:rPr>
                <w:b/>
              </w:rPr>
              <w:t>gezogen am 14.09.2021</w:t>
            </w:r>
          </w:p>
        </w:tc>
      </w:tr>
      <w:tr w:rsidR="00E403DD" w14:paraId="1DCF0F1A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43168A" w14:textId="7A97DB18" w:rsidR="00A64BF8" w:rsidRDefault="00637294">
            <w:r>
              <w:rPr>
                <w:rFonts w:eastAsia="Arial" w:cs="Arial"/>
                <w:b/>
              </w:rPr>
              <w:t>19.4011</w:t>
            </w:r>
          </w:p>
          <w:p w14:paraId="337227E6" w14:textId="77777777" w:rsidR="00A64BF8" w:rsidRPr="00A64BF8" w:rsidRDefault="00A64BF8" w:rsidP="00A64BF8"/>
          <w:p w14:paraId="2EBD2740" w14:textId="19ADEE0C" w:rsidR="00E403DD" w:rsidRPr="00A64BF8" w:rsidRDefault="00E403DD" w:rsidP="00A64BF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C4A66A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311B22" w14:textId="77777777" w:rsidR="00E403DD" w:rsidRDefault="00A64BF8">
            <w:pPr>
              <w:pStyle w:val="Normal6"/>
            </w:pPr>
            <w:hyperlink r:id="rId1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EAAD1B" w14:textId="77777777" w:rsidR="00E403DD" w:rsidRDefault="00A64BF8">
            <w:pPr>
              <w:pStyle w:val="Normal7"/>
            </w:pPr>
            <w:hyperlink r:id="rId2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FFE921" w14:textId="77777777" w:rsidR="00E403DD" w:rsidRDefault="00A64BF8">
            <w:pPr>
              <w:pStyle w:val="Normal8"/>
            </w:pPr>
            <w:hyperlink r:id="rId2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9F8ECC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Regazzi. Von geschützten Wildtieren wie Wolf, Luchs, Bär und Biber verursachte Schäden sind vom Bund vollständig abzugelten</w:t>
            </w:r>
          </w:p>
          <w:p w14:paraId="05361309" w14:textId="77777777" w:rsidR="00E403DD" w:rsidRDefault="00637294">
            <w:r>
              <w:rPr>
                <w:rFonts w:eastAsia="Arial" w:cs="Arial"/>
              </w:rPr>
              <w:t>Mo. Regazzi. La Confédération doit entièrement assumer les dégâts causés par la faune sauvage protégée (loups, lynx, ours, castors, etc.)</w:t>
            </w:r>
          </w:p>
          <w:p w14:paraId="0684FB8B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Regazzi. I danni causati dalle specie di selvaggina protette come lupi, linci, orsi e castori devono essere integralmente assunti dalla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B2AA9C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47F577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A0CB6C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A8A501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4183627B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8315F7" w14:textId="0D9FCA58" w:rsidR="00A64BF8" w:rsidRDefault="00637294">
            <w:r>
              <w:rPr>
                <w:rFonts w:eastAsia="Arial" w:cs="Arial"/>
                <w:b/>
              </w:rPr>
              <w:t>19.4050</w:t>
            </w:r>
          </w:p>
          <w:p w14:paraId="1A5ED6F4" w14:textId="77777777" w:rsidR="00A64BF8" w:rsidRPr="00A64BF8" w:rsidRDefault="00A64BF8" w:rsidP="00A64BF8"/>
          <w:p w14:paraId="2E6EEB7A" w14:textId="77777777" w:rsidR="00A64BF8" w:rsidRPr="00A64BF8" w:rsidRDefault="00A64BF8" w:rsidP="00A64BF8"/>
          <w:p w14:paraId="46224F56" w14:textId="70B6AA9E" w:rsidR="00E403DD" w:rsidRPr="00A64BF8" w:rsidRDefault="00E403DD" w:rsidP="00A64BF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EE5D13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759284" w14:textId="77777777" w:rsidR="00E403DD" w:rsidRDefault="00A64BF8">
            <w:pPr>
              <w:pStyle w:val="Normal9"/>
            </w:pPr>
            <w:hyperlink r:id="rId2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82D262" w14:textId="77777777" w:rsidR="00E403DD" w:rsidRDefault="00A64BF8">
            <w:pPr>
              <w:pStyle w:val="Normal10"/>
            </w:pPr>
            <w:hyperlink r:id="rId2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CDB9F6" w14:textId="77777777" w:rsidR="00E403DD" w:rsidRDefault="00A64BF8">
            <w:pPr>
              <w:pStyle w:val="Normal11"/>
            </w:pPr>
            <w:hyperlink r:id="rId2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6413B1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Fraktion RL. Genomeditierung zugunsten der Umwelt ermöglichen</w:t>
            </w:r>
          </w:p>
          <w:p w14:paraId="70545AEB" w14:textId="77777777" w:rsidR="00E403DD" w:rsidRDefault="00637294">
            <w:r>
              <w:rPr>
                <w:rFonts w:eastAsia="Arial" w:cs="Arial"/>
              </w:rPr>
              <w:t>Mo. Groupe RL. Autoriser l'édition génomique, technologie qui profite à la protection de l'environnement</w:t>
            </w:r>
          </w:p>
          <w:p w14:paraId="6F30DF9B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Gruppo RL. Consentire l'editing genomico a favore dell'ambiente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FF2F6D" w14:textId="77777777" w:rsidR="00E403DD" w:rsidRDefault="00637294">
            <w:r>
              <w:rPr>
                <w:rFonts w:eastAsia="Arial" w:cs="Arial"/>
              </w:rPr>
              <w:t>Wasserfallen Christian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CB34A7" w14:textId="77777777" w:rsidR="00E403DD" w:rsidRDefault="00E403D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AFAC28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6C4AEE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1D10E40D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65D03D" w14:textId="77777777" w:rsidR="00E403DD" w:rsidRDefault="00637294">
            <w:r>
              <w:rPr>
                <w:rFonts w:eastAsia="Arial" w:cs="Arial"/>
                <w:b/>
              </w:rPr>
              <w:lastRenderedPageBreak/>
              <w:t>19.4067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F29FE9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ED68C4" w14:textId="77777777" w:rsidR="00E403DD" w:rsidRDefault="00A64BF8">
            <w:pPr>
              <w:pStyle w:val="Normal12"/>
            </w:pPr>
            <w:hyperlink r:id="rId2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D8E6BE" w14:textId="77777777" w:rsidR="00E403DD" w:rsidRDefault="00A64BF8">
            <w:pPr>
              <w:pStyle w:val="Normal13"/>
            </w:pPr>
            <w:hyperlink r:id="rId2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18E210" w14:textId="77777777" w:rsidR="00E403DD" w:rsidRDefault="00A64BF8">
            <w:pPr>
              <w:pStyle w:val="Normal14"/>
            </w:pPr>
            <w:hyperlink r:id="rId2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A54DE3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Feller. Anpassungen bei Via sicura. Die Blaulichtorganisationen sollen unter Bedingungen arbeiten können, die ihnen die Erfüllung ihrer Aufgaben erlauben, auch bei Tempolimit 30</w:t>
            </w:r>
          </w:p>
          <w:p w14:paraId="4DA9E1A5" w14:textId="77777777" w:rsidR="00E403DD" w:rsidRDefault="00637294">
            <w:r>
              <w:rPr>
                <w:rFonts w:eastAsia="Arial" w:cs="Arial"/>
              </w:rPr>
              <w:t>Mo. Feller. Adapter Via sicura pour que les services d'urgence puissent accomplir leur travail dans les conditions requises par leur mission, y compris lorsque la vitesse est limitée à 30 kilomètres à l'heure</w:t>
            </w:r>
          </w:p>
          <w:p w14:paraId="09424B2A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Feller. Adeguare Via sicura in modo tale da permettere ai servizi di soccorso di operare nelle condizioni richieste dalla loro funzione, anche quando il limite è di 30 chilometri l'ora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4A4407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209C1A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11904C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9A162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57C9DF6A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098A16" w14:textId="77777777" w:rsidR="00E403DD" w:rsidRDefault="00637294">
            <w:r>
              <w:rPr>
                <w:rFonts w:eastAsia="Arial" w:cs="Arial"/>
                <w:b/>
              </w:rPr>
              <w:t>19.4068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032CC9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D9D6BC" w14:textId="77777777" w:rsidR="00E403DD" w:rsidRDefault="00A64BF8">
            <w:pPr>
              <w:pStyle w:val="Normal15"/>
            </w:pPr>
            <w:hyperlink r:id="rId2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10FE194" w14:textId="77777777" w:rsidR="00E403DD" w:rsidRDefault="00A64BF8">
            <w:pPr>
              <w:pStyle w:val="Normal16"/>
            </w:pPr>
            <w:hyperlink r:id="rId2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4DF191" w14:textId="77777777" w:rsidR="00E403DD" w:rsidRDefault="00A64BF8">
            <w:pPr>
              <w:pStyle w:val="Normal17"/>
            </w:pPr>
            <w:hyperlink r:id="rId3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38F277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(Rochat Fernandez) Aebischer Matthias. Anpassungen bei Via sicura. Die Blaulichtorganisationen sollen unter Bedingungen arbeiten können, die ihnen die Erfüllung ihrer Aufgaben erlauben, auch bei Tempolimit 30</w:t>
            </w:r>
          </w:p>
          <w:p w14:paraId="39BA67D8" w14:textId="77777777" w:rsidR="00E403DD" w:rsidRDefault="00637294">
            <w:r>
              <w:rPr>
                <w:rFonts w:eastAsia="Arial" w:cs="Arial"/>
              </w:rPr>
              <w:t>Mo. (Rochat Fernandez) Aebischer Matthias. Adapter Via sicura pour que les services d'urgence puissent accomplir leur travail dans les conditions requises par leur mission, y compris lorsque la vitesse est limitée à 30 kilomètres à l'heure</w:t>
            </w:r>
          </w:p>
          <w:p w14:paraId="3F2E8E2E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(Rochat Fernandez) Aebischer Matthias. Adeguare Via sicura in modo tale da permettere ai servizi di soccorso di operare nelle condizioni richieste dalla loro funzione, anche quando il limite è di 30 chilometri l'ora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1143D6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6473BC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B8CB0A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39BEF9" w14:textId="77777777" w:rsidR="00E403DD" w:rsidRDefault="006372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EB131E2" w14:textId="77777777" w:rsidR="0095019E" w:rsidRDefault="0095019E">
            <w:pPr>
              <w:rPr>
                <w:rFonts w:eastAsia="Arial" w:cs="Arial"/>
              </w:rPr>
            </w:pPr>
          </w:p>
          <w:p w14:paraId="62672226" w14:textId="77777777" w:rsidR="0095019E" w:rsidRDefault="0095019E" w:rsidP="0095019E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25520D02" w14:textId="73F35812" w:rsidR="0095019E" w:rsidRDefault="0095019E" w:rsidP="0095019E">
            <w:r>
              <w:rPr>
                <w:rFonts w:eastAsia="Arial" w:cs="Arial"/>
                <w:b/>
              </w:rPr>
              <w:t>am 2.9.2021</w:t>
            </w:r>
          </w:p>
        </w:tc>
      </w:tr>
      <w:tr w:rsidR="00E403DD" w14:paraId="4CB5EFD8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8CCF9A" w14:textId="77777777" w:rsidR="00E403DD" w:rsidRDefault="00637294">
            <w:r>
              <w:rPr>
                <w:rFonts w:eastAsia="Arial" w:cs="Arial"/>
                <w:b/>
              </w:rPr>
              <w:t>19.4081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054EF1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B2411A" w14:textId="77777777" w:rsidR="00E403DD" w:rsidRDefault="00A64BF8">
            <w:pPr>
              <w:pStyle w:val="Normal18"/>
            </w:pPr>
            <w:hyperlink r:id="rId3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785C36" w14:textId="77777777" w:rsidR="00E403DD" w:rsidRDefault="00A64BF8">
            <w:pPr>
              <w:pStyle w:val="Normal19"/>
            </w:pPr>
            <w:hyperlink r:id="rId3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6764E53" w14:textId="77777777" w:rsidR="00E403DD" w:rsidRDefault="00A64BF8">
            <w:pPr>
              <w:pStyle w:val="Normal20"/>
            </w:pPr>
            <w:hyperlink r:id="rId3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A77D4E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Grüter. UKW-Radio bis 2025</w:t>
            </w:r>
          </w:p>
          <w:p w14:paraId="4B7EC0D3" w14:textId="77777777" w:rsidR="00E403DD" w:rsidRDefault="00637294">
            <w:r w:rsidRPr="0095019E">
              <w:rPr>
                <w:rFonts w:eastAsia="Arial" w:cs="Arial"/>
                <w:lang w:val="de-CH"/>
              </w:rPr>
              <w:t xml:space="preserve">Mo. Grüter. </w:t>
            </w:r>
            <w:r>
              <w:rPr>
                <w:rFonts w:eastAsia="Arial" w:cs="Arial"/>
              </w:rPr>
              <w:t>Pour le maintien des fréquences OUC jusqu'en 2025</w:t>
            </w:r>
          </w:p>
          <w:p w14:paraId="58B82DED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Grüter. Radio OUC fino al 2025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C6BDAF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679B38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BA9979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2135B8" w14:textId="77777777" w:rsidR="00E403DD" w:rsidRDefault="00637294" w:rsidP="00B7612D">
            <w:pPr>
              <w:spacing w:after="80"/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40509A76" w14:textId="27021FB1" w:rsidR="00B7612D" w:rsidRDefault="00B7612D" w:rsidP="00B7612D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259E808A" w14:textId="721922EB" w:rsidR="00B7612D" w:rsidRDefault="00B7612D" w:rsidP="00B7612D">
            <w:r>
              <w:rPr>
                <w:rFonts w:eastAsia="Arial" w:cs="Arial"/>
                <w:b/>
              </w:rPr>
              <w:t>am 3.9.2021</w:t>
            </w:r>
          </w:p>
        </w:tc>
      </w:tr>
      <w:tr w:rsidR="00E403DD" w14:paraId="0AC0973A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BF16C5" w14:textId="77777777" w:rsidR="00E403DD" w:rsidRDefault="00637294">
            <w:r>
              <w:rPr>
                <w:rFonts w:eastAsia="Arial" w:cs="Arial"/>
                <w:b/>
              </w:rPr>
              <w:t>19.4106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D97396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340A40" w14:textId="77777777" w:rsidR="00E403DD" w:rsidRDefault="00A64BF8">
            <w:pPr>
              <w:pStyle w:val="Normal21"/>
            </w:pPr>
            <w:hyperlink r:id="rId3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79FB09" w14:textId="77777777" w:rsidR="00E403DD" w:rsidRDefault="00A64BF8">
            <w:pPr>
              <w:pStyle w:val="Normal22"/>
            </w:pPr>
            <w:hyperlink r:id="rId3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A0748B" w14:textId="77777777" w:rsidR="00E403DD" w:rsidRDefault="00A64BF8">
            <w:pPr>
              <w:pStyle w:val="Normal23"/>
            </w:pPr>
            <w:hyperlink r:id="rId3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A3BE1B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(Rochat Fernandez) Crottaz. Ein Gesetz zum Schutz der Geldtransporte</w:t>
            </w:r>
          </w:p>
          <w:p w14:paraId="4BC0E1D5" w14:textId="77777777" w:rsidR="00E403DD" w:rsidRDefault="00637294">
            <w:r>
              <w:rPr>
                <w:rFonts w:eastAsia="Arial" w:cs="Arial"/>
              </w:rPr>
              <w:t>Mo. (Rochat Fernandez) Crottaz. Une loi pour assurer la sécurité des convoyages de fonds</w:t>
            </w:r>
          </w:p>
          <w:p w14:paraId="41A481EB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(Rochat Fernandez) Crottaz. Una legge per la sicurezza dei trasporti di denaro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18F088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D07B47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1645E3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83C8F0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6F188645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763F40" w14:textId="77777777" w:rsidR="00E403DD" w:rsidRDefault="00637294">
            <w:r>
              <w:rPr>
                <w:rFonts w:eastAsia="Arial" w:cs="Arial"/>
                <w:b/>
              </w:rPr>
              <w:t>19.4145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65300C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F1263D" w14:textId="77777777" w:rsidR="00E403DD" w:rsidRDefault="00A64BF8">
            <w:pPr>
              <w:pStyle w:val="Normal24"/>
            </w:pPr>
            <w:hyperlink r:id="rId3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A549887" w14:textId="77777777" w:rsidR="00E403DD" w:rsidRDefault="00A64BF8">
            <w:pPr>
              <w:pStyle w:val="Normal25"/>
            </w:pPr>
            <w:hyperlink r:id="rId3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6C2685" w14:textId="77777777" w:rsidR="00E403DD" w:rsidRDefault="00A64BF8">
            <w:pPr>
              <w:pStyle w:val="Normal26"/>
            </w:pPr>
            <w:hyperlink r:id="rId3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E8DFD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Bäumle. Aktionsplan Klimaschutz. Der Bund muss mit gutem Beispiel vorangehen</w:t>
            </w:r>
          </w:p>
          <w:p w14:paraId="6369FC4C" w14:textId="77777777" w:rsidR="00E403DD" w:rsidRDefault="00637294">
            <w:r>
              <w:rPr>
                <w:rFonts w:eastAsia="Arial" w:cs="Arial"/>
              </w:rPr>
              <w:t>Mo. Bäumle. Plan d'action Protection du climat. Exemplarité de la Confédération</w:t>
            </w:r>
          </w:p>
          <w:p w14:paraId="7400E432" w14:textId="77777777" w:rsidR="00E403DD" w:rsidRPr="0095019E" w:rsidRDefault="00637294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Bäumle. </w:t>
            </w:r>
            <w:r w:rsidRPr="0095019E">
              <w:rPr>
                <w:rFonts w:eastAsia="Arial" w:cs="Arial"/>
                <w:lang w:val="it-CH"/>
              </w:rPr>
              <w:t>Piano d'azione per la protezione del clima. La Confederazione deve dare il buon esempio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3F4447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2B4A35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CABB1B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78CB36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512862AF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E3F2FE" w14:textId="77777777" w:rsidR="00E403DD" w:rsidRDefault="00637294">
            <w:r>
              <w:rPr>
                <w:rFonts w:eastAsia="Arial" w:cs="Arial"/>
                <w:b/>
              </w:rPr>
              <w:t>19.4162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EDB04C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912C06" w14:textId="77777777" w:rsidR="00E403DD" w:rsidRDefault="00A64BF8">
            <w:pPr>
              <w:pStyle w:val="Normal27"/>
            </w:pPr>
            <w:hyperlink r:id="rId4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52C8E8" w14:textId="77777777" w:rsidR="00E403DD" w:rsidRDefault="00A64BF8">
            <w:pPr>
              <w:pStyle w:val="Normal28"/>
            </w:pPr>
            <w:hyperlink r:id="rId4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F24752" w14:textId="77777777" w:rsidR="00E403DD" w:rsidRDefault="00A64BF8">
            <w:pPr>
              <w:pStyle w:val="Normal29"/>
            </w:pPr>
            <w:hyperlink r:id="rId4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A6E2DD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Grossen Jürg. Energiestrategie 2050. Mehr Spielraum in dezentralen Strukturen</w:t>
            </w:r>
          </w:p>
          <w:p w14:paraId="3A5A1C77" w14:textId="77777777" w:rsidR="00E403DD" w:rsidRDefault="00637294">
            <w:r>
              <w:rPr>
                <w:rFonts w:eastAsia="Arial" w:cs="Arial"/>
              </w:rPr>
              <w:t>Mo. Grossen Jürg. Stratégie énergétique 2050. Libéraliser la production décentralisée d'électricité</w:t>
            </w:r>
          </w:p>
          <w:p w14:paraId="2E02D574" w14:textId="77777777" w:rsidR="00E403DD" w:rsidRPr="0095019E" w:rsidRDefault="00637294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Grossen Jürg. </w:t>
            </w:r>
            <w:r w:rsidRPr="0095019E">
              <w:rPr>
                <w:rFonts w:eastAsia="Arial" w:cs="Arial"/>
                <w:lang w:val="it-CH"/>
              </w:rPr>
              <w:t>Strategia energetica 2050. Maggiore libertà d'intervento per le strutture decentralizzate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C37CE9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9BD236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DC13BE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EE4DB9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5B286D9B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5EC16C" w14:textId="77777777" w:rsidR="00E403DD" w:rsidRDefault="00637294">
            <w:r>
              <w:rPr>
                <w:rFonts w:eastAsia="Arial" w:cs="Arial"/>
                <w:b/>
              </w:rPr>
              <w:t>19.4163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2F161C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70341E" w14:textId="77777777" w:rsidR="00E403DD" w:rsidRDefault="00A64BF8">
            <w:pPr>
              <w:pStyle w:val="Normal30"/>
            </w:pPr>
            <w:hyperlink r:id="rId4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78C5E27" w14:textId="77777777" w:rsidR="00E403DD" w:rsidRDefault="00A64BF8">
            <w:pPr>
              <w:pStyle w:val="Normal31"/>
            </w:pPr>
            <w:hyperlink r:id="rId4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04F6BA" w14:textId="77777777" w:rsidR="00E403DD" w:rsidRDefault="00A64BF8">
            <w:pPr>
              <w:pStyle w:val="Normal32"/>
            </w:pPr>
            <w:hyperlink r:id="rId4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7A2173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Rutz Gregor. Verkehrsregeln gelten für alle, auch für Velofahrer</w:t>
            </w:r>
          </w:p>
          <w:p w14:paraId="5462177C" w14:textId="77777777" w:rsidR="00E403DD" w:rsidRDefault="00637294">
            <w:r>
              <w:rPr>
                <w:rFonts w:eastAsia="Arial" w:cs="Arial"/>
              </w:rPr>
              <w:t>Mo. Rutz Gregor. Les règles de la circulation sont valables pour tous les usagers, y compris les cyclistes</w:t>
            </w:r>
          </w:p>
          <w:p w14:paraId="522BE0AA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Rutz Gregor. Il codice della strada vale per tutti, ciclisti compresi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56B3D2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3D65DE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79C2C1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311612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65001A5F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01AE92" w14:textId="77777777" w:rsidR="00E403DD" w:rsidRDefault="00637294">
            <w:r>
              <w:rPr>
                <w:rFonts w:eastAsia="Arial" w:cs="Arial"/>
                <w:b/>
              </w:rPr>
              <w:lastRenderedPageBreak/>
              <w:t>19.4184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92FA06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8E69A1" w14:textId="77777777" w:rsidR="00E403DD" w:rsidRDefault="00A64BF8">
            <w:pPr>
              <w:pStyle w:val="Normal33"/>
            </w:pPr>
            <w:hyperlink r:id="rId4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774131" w14:textId="77777777" w:rsidR="00E403DD" w:rsidRDefault="00A64BF8">
            <w:pPr>
              <w:pStyle w:val="Normal34"/>
            </w:pPr>
            <w:hyperlink r:id="rId4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D0CF0CF" w14:textId="77777777" w:rsidR="00E403DD" w:rsidRDefault="00A64BF8">
            <w:pPr>
              <w:pStyle w:val="Normal35"/>
            </w:pPr>
            <w:hyperlink r:id="rId4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7F005B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Töngi. Verkehrsinvestitionen am richtigen Ort</w:t>
            </w:r>
          </w:p>
          <w:p w14:paraId="673D5DA7" w14:textId="77777777" w:rsidR="00E403DD" w:rsidRDefault="00637294">
            <w:r>
              <w:rPr>
                <w:rFonts w:eastAsia="Arial" w:cs="Arial"/>
              </w:rPr>
              <w:t>Mo. Töngi. Transports. Investissements au bon endroit</w:t>
            </w:r>
          </w:p>
          <w:p w14:paraId="383EAB28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Töngi. Trasporti. Investimenti laddove necessari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38EF0D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37B78A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88FF99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C281F2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7985AEBA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009949" w14:textId="77777777" w:rsidR="00E403DD" w:rsidRDefault="00637294">
            <w:r>
              <w:rPr>
                <w:rFonts w:eastAsia="Arial" w:cs="Arial"/>
                <w:b/>
              </w:rPr>
              <w:t>19.4217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055924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3988D3" w14:textId="77777777" w:rsidR="00E403DD" w:rsidRDefault="00A64BF8">
            <w:pPr>
              <w:pStyle w:val="Normal36"/>
            </w:pPr>
            <w:hyperlink r:id="rId4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43032F" w14:textId="77777777" w:rsidR="00E403DD" w:rsidRDefault="00A64BF8">
            <w:pPr>
              <w:pStyle w:val="Normal37"/>
            </w:pPr>
            <w:hyperlink r:id="rId5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DDF792" w14:textId="77777777" w:rsidR="00E403DD" w:rsidRDefault="00A64BF8">
            <w:pPr>
              <w:pStyle w:val="Normal38"/>
            </w:pPr>
            <w:hyperlink r:id="rId5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6F592E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Po. Bendahan. Einen Teil der NAF-Gelder für Alternativen zum Privatfahrzeug für die Anreise zu Knotenpunkten des öffentlichen Verkehrs einsetzen</w:t>
            </w:r>
          </w:p>
          <w:p w14:paraId="21BD1BF2" w14:textId="77777777" w:rsidR="00E403DD" w:rsidRDefault="00637294">
            <w:r>
              <w:rPr>
                <w:rFonts w:eastAsia="Arial" w:cs="Arial"/>
              </w:rPr>
              <w:t>Po. Bendahan. Affecter une part du fonds Forta pour des alternatives à la voiture individuelle pour atteindre des points clés du réseau de transports publics</w:t>
            </w:r>
          </w:p>
          <w:p w14:paraId="6EE5CB68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Po. Bendahan. Impiegare parte delle risorse del Fostra per alternative all'auto privata per raggiungere punti chiave della rete di trasporto pubblico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B95357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BEDC23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101903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9C556B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41EA2599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8D1301" w14:textId="77777777" w:rsidR="00E403DD" w:rsidRDefault="00637294">
            <w:r>
              <w:rPr>
                <w:rFonts w:eastAsia="Arial" w:cs="Arial"/>
                <w:b/>
              </w:rPr>
              <w:t>19.4218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1EC389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40451E" w14:textId="77777777" w:rsidR="00E403DD" w:rsidRDefault="00A64BF8">
            <w:pPr>
              <w:pStyle w:val="Normal39"/>
            </w:pPr>
            <w:hyperlink r:id="rId5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A894E6" w14:textId="77777777" w:rsidR="00E403DD" w:rsidRDefault="00A64BF8">
            <w:pPr>
              <w:pStyle w:val="Normal40"/>
            </w:pPr>
            <w:hyperlink r:id="rId5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64FEEB" w14:textId="77777777" w:rsidR="00E403DD" w:rsidRDefault="00A64BF8">
            <w:pPr>
              <w:pStyle w:val="Normal41"/>
            </w:pPr>
            <w:hyperlink r:id="rId5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943C29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Bendahan. Flugtarife. Ökologischen und ökonomischen Absurditäten ein Ende setzen</w:t>
            </w:r>
          </w:p>
          <w:p w14:paraId="06D4D2FB" w14:textId="77777777" w:rsidR="00E403DD" w:rsidRDefault="00637294">
            <w:r>
              <w:rPr>
                <w:rFonts w:eastAsia="Arial" w:cs="Arial"/>
              </w:rPr>
              <w:t>Mo. Bendahan. Mettre fin aux aberrations écologiques et économiques de la tarification des trajets en avion</w:t>
            </w:r>
          </w:p>
          <w:p w14:paraId="2DAE91BF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Bendahan. Porre fine alle aberrazioni ecologiche ed economiche dei prezzi dei voli aerei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A0675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768794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3C00C7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F674C3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6DC109BC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B12EBC" w14:textId="77777777" w:rsidR="00E403DD" w:rsidRDefault="00637294">
            <w:r>
              <w:rPr>
                <w:rFonts w:eastAsia="Arial" w:cs="Arial"/>
                <w:b/>
              </w:rPr>
              <w:t>19.4221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5AD1A3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295744" w14:textId="77777777" w:rsidR="00E403DD" w:rsidRDefault="00A64BF8">
            <w:pPr>
              <w:pStyle w:val="Normal42"/>
            </w:pPr>
            <w:hyperlink r:id="rId5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05D20D" w14:textId="77777777" w:rsidR="00E403DD" w:rsidRDefault="00A64BF8">
            <w:pPr>
              <w:pStyle w:val="Normal43"/>
            </w:pPr>
            <w:hyperlink r:id="rId5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580A6D" w14:textId="77777777" w:rsidR="00E403DD" w:rsidRDefault="00A64BF8">
            <w:pPr>
              <w:pStyle w:val="Normal44"/>
            </w:pPr>
            <w:hyperlink r:id="rId5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94B8F0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(Flückiger Sylvia) Wobmann. Mehr Parkplätze an Autobahnauffahrten und Bahnhöfen</w:t>
            </w:r>
          </w:p>
          <w:p w14:paraId="588791A6" w14:textId="77777777" w:rsidR="00E403DD" w:rsidRDefault="00637294">
            <w:r>
              <w:rPr>
                <w:rFonts w:eastAsia="Arial" w:cs="Arial"/>
              </w:rPr>
              <w:t>Mo. (Flückiger Sylvia) Wobmann. Plus de places de stationnement aux abords des gares et des accès autoroutiers</w:t>
            </w:r>
          </w:p>
          <w:p w14:paraId="63EB6B90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 xml:space="preserve">Mo. (Flückiger Sylvia) Wobmann. Più parcheggi </w:t>
            </w:r>
            <w:bookmarkStart w:id="1" w:name="_GoBack"/>
            <w:bookmarkEnd w:id="1"/>
            <w:r w:rsidRPr="0095019E">
              <w:rPr>
                <w:rFonts w:eastAsia="Arial" w:cs="Arial"/>
                <w:lang w:val="it-CH"/>
              </w:rPr>
              <w:t>in prossimità di svincoli autostradali e stazioni ferroviarie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8A607B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A4417A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70A349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3509AD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60019CC0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9F73F9" w14:textId="77777777" w:rsidR="00E403DD" w:rsidRDefault="00637294">
            <w:r>
              <w:rPr>
                <w:rFonts w:eastAsia="Arial" w:cs="Arial"/>
                <w:b/>
              </w:rPr>
              <w:t>19.4227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30E8E7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63D0C4" w14:textId="77777777" w:rsidR="00E403DD" w:rsidRDefault="00A64BF8">
            <w:pPr>
              <w:pStyle w:val="Normal45"/>
            </w:pPr>
            <w:hyperlink r:id="rId5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84CC9F2" w14:textId="77777777" w:rsidR="00E403DD" w:rsidRDefault="00A64BF8">
            <w:pPr>
              <w:pStyle w:val="Normal46"/>
            </w:pPr>
            <w:hyperlink r:id="rId5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EBFB1F" w14:textId="77777777" w:rsidR="00E403DD" w:rsidRDefault="00A64BF8">
            <w:pPr>
              <w:pStyle w:val="Normal47"/>
            </w:pPr>
            <w:hyperlink r:id="rId6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0D7C32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Seiler Graf. Reduktion der CO2-Emissionen und der Energieverluste für Gebäudeinhaberinnen und -inhaber, Mieterinnen und Mieter sowie KMU</w:t>
            </w:r>
          </w:p>
          <w:p w14:paraId="5C62833F" w14:textId="77777777" w:rsidR="00E403DD" w:rsidRDefault="00637294">
            <w:r>
              <w:rPr>
                <w:rFonts w:eastAsia="Arial" w:cs="Arial"/>
              </w:rPr>
              <w:t>Mo. Seiler Graf. Réduction des émissions de CO2 et des pertes d'énergie pour les propriétaires et les locataires d'immeubles ainsi que pour les PME</w:t>
            </w:r>
          </w:p>
          <w:p w14:paraId="4A51F61B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Seiler Graf. Riduzione delle emissioni di CO2 e delle perdite di energia per i proprietari di edifici, locatari e PMI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5B4B11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5B9C2C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832B64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2441EA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1028C7DD" w14:textId="77777777" w:rsidTr="00A64BF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E75D6C" w14:textId="77777777" w:rsidR="00E403DD" w:rsidRDefault="00637294">
            <w:r>
              <w:rPr>
                <w:rFonts w:eastAsia="Arial" w:cs="Arial"/>
                <w:b/>
              </w:rPr>
              <w:t>19.4243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F7D2C0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5CD36A" w14:textId="77777777" w:rsidR="00E403DD" w:rsidRDefault="00A64BF8">
            <w:pPr>
              <w:pStyle w:val="Normal48"/>
            </w:pPr>
            <w:hyperlink r:id="rId6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273DCF" w14:textId="77777777" w:rsidR="00E403DD" w:rsidRDefault="00A64BF8">
            <w:pPr>
              <w:pStyle w:val="Normal49"/>
            </w:pPr>
            <w:hyperlink r:id="rId6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47AFFCC" w14:textId="77777777" w:rsidR="00E403DD" w:rsidRDefault="00A64BF8">
            <w:pPr>
              <w:pStyle w:val="Normal50"/>
            </w:pPr>
            <w:hyperlink r:id="rId6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B40787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Bourgeois. Ausbau der Fotovoltaik</w:t>
            </w:r>
          </w:p>
          <w:p w14:paraId="2E91BEC1" w14:textId="77777777" w:rsidR="00E403DD" w:rsidRDefault="00637294">
            <w:r w:rsidRPr="0095019E">
              <w:rPr>
                <w:rFonts w:eastAsia="Arial" w:cs="Arial"/>
                <w:lang w:val="de-CH"/>
              </w:rPr>
              <w:t xml:space="preserve">Mo. Bourgeois. </w:t>
            </w:r>
            <w:r>
              <w:rPr>
                <w:rFonts w:eastAsia="Arial" w:cs="Arial"/>
              </w:rPr>
              <w:t>Renforcement du photovoltaïque</w:t>
            </w:r>
          </w:p>
          <w:p w14:paraId="284FBD91" w14:textId="77777777" w:rsidR="00E403DD" w:rsidRDefault="00637294">
            <w:r>
              <w:rPr>
                <w:rFonts w:eastAsia="Arial" w:cs="Arial"/>
              </w:rPr>
              <w:t>Mo. Bourgeois. Rafforzare il fotovoltaico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283A25" w14:textId="77777777" w:rsidR="00E403DD" w:rsidRDefault="00E403D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4B6872" w14:textId="77777777" w:rsidR="00E403DD" w:rsidRDefault="00E403D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F2B070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67760F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1828057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88156C" w14:textId="77777777" w:rsidR="00E403DD" w:rsidRDefault="00637294">
            <w:r>
              <w:rPr>
                <w:rFonts w:eastAsia="Arial" w:cs="Arial"/>
                <w:b/>
              </w:rPr>
              <w:t>19.4257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AA8330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778FB2" w14:textId="77777777" w:rsidR="00E403DD" w:rsidRDefault="00A64BF8">
            <w:pPr>
              <w:pStyle w:val="Normal51"/>
            </w:pPr>
            <w:hyperlink r:id="rId6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7D06F89" w14:textId="77777777" w:rsidR="00E403DD" w:rsidRDefault="00A64BF8">
            <w:pPr>
              <w:pStyle w:val="Normal52"/>
            </w:pPr>
            <w:hyperlink r:id="rId6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53CCBC" w14:textId="77777777" w:rsidR="00E403DD" w:rsidRDefault="00A64BF8">
            <w:pPr>
              <w:pStyle w:val="Normal53"/>
            </w:pPr>
            <w:hyperlink r:id="rId6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E22CB4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(Hadorn) Nordmann. Sonnenenergie-Fördertrilogie konkret. Meldeverfahren nach Raumplanungsgesetz ohne Formularkrieg</w:t>
            </w:r>
          </w:p>
          <w:p w14:paraId="36D9B827" w14:textId="77777777" w:rsidR="00E403DD" w:rsidRDefault="00637294">
            <w:r w:rsidRPr="0095019E">
              <w:rPr>
                <w:rFonts w:eastAsia="Arial" w:cs="Arial"/>
                <w:lang w:val="de-CH"/>
              </w:rPr>
              <w:t xml:space="preserve">Mo. (Hadorn) Nordmann. </w:t>
            </w:r>
            <w:r>
              <w:rPr>
                <w:rFonts w:eastAsia="Arial" w:cs="Arial"/>
              </w:rPr>
              <w:t>Encouragement de l'énergie solaire. Mettre fin à la guerre des formulaires dans la procédure d'annonce selon la LAT</w:t>
            </w:r>
          </w:p>
          <w:p w14:paraId="597A83F0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(Hadorn) Nordmann. Trilogia a sostegno dell'energia solare. Semplificazione della procedura di notifica secondo la legge sulla pianificazione del territorio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246AE0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24E14D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E41D38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41A371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346E789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6555EE" w14:textId="77777777" w:rsidR="00E403DD" w:rsidRDefault="00637294">
            <w:r>
              <w:rPr>
                <w:rFonts w:eastAsia="Arial" w:cs="Arial"/>
                <w:b/>
              </w:rPr>
              <w:lastRenderedPageBreak/>
              <w:t>19.4260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9E66CD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DA8A0F" w14:textId="77777777" w:rsidR="00E403DD" w:rsidRDefault="00A64BF8">
            <w:pPr>
              <w:pStyle w:val="Normal54"/>
            </w:pPr>
            <w:hyperlink r:id="rId6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9EF3525" w14:textId="77777777" w:rsidR="00E403DD" w:rsidRDefault="00A64BF8">
            <w:pPr>
              <w:pStyle w:val="Normal55"/>
            </w:pPr>
            <w:hyperlink r:id="rId6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D6A228" w14:textId="77777777" w:rsidR="00E403DD" w:rsidRDefault="00A64BF8">
            <w:pPr>
              <w:pStyle w:val="Normal56"/>
            </w:pPr>
            <w:hyperlink r:id="rId6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17D0F1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(Guhl) Hess Lorenz. Die Wasserkraft wirksam durch Investitionsbeiträge unterstützen</w:t>
            </w:r>
          </w:p>
          <w:p w14:paraId="55B7836B" w14:textId="77777777" w:rsidR="00E403DD" w:rsidRDefault="00637294">
            <w:r>
              <w:rPr>
                <w:rFonts w:eastAsia="Arial" w:cs="Arial"/>
              </w:rPr>
              <w:t>Mo. (Guhl) Hess Lorenz. Optimiser le soutien à l'énergie hydraulique par des contributions d'investissement</w:t>
            </w:r>
          </w:p>
          <w:p w14:paraId="7C397FDA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(Guhl) Hess Lorenz. Sostenere efficacemente l'energia idroelettrica attraverso i contributi d'investimento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EAC22F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2865CE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D67CC9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7DE2B0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6174CC2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42B9E" w14:textId="77777777" w:rsidR="00E403DD" w:rsidRDefault="00637294">
            <w:r>
              <w:rPr>
                <w:rFonts w:eastAsia="Arial" w:cs="Arial"/>
                <w:b/>
              </w:rPr>
              <w:t>19.4264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DA172D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B7FDD4" w14:textId="77777777" w:rsidR="00E403DD" w:rsidRDefault="00A64BF8">
            <w:pPr>
              <w:pStyle w:val="Normal57"/>
            </w:pPr>
            <w:hyperlink r:id="rId7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39177C0" w14:textId="77777777" w:rsidR="00E403DD" w:rsidRDefault="00A64BF8">
            <w:pPr>
              <w:pStyle w:val="Normal58"/>
            </w:pPr>
            <w:hyperlink r:id="rId7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ABAA09" w14:textId="77777777" w:rsidR="00E403DD" w:rsidRDefault="00A64BF8">
            <w:pPr>
              <w:pStyle w:val="Normal59"/>
            </w:pPr>
            <w:hyperlink r:id="rId7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A6F855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Müller Leo. Landwirtschaft ersetzt CO2-frei die AKW Mühleberg, Beznau I und II</w:t>
            </w:r>
          </w:p>
          <w:p w14:paraId="62919F48" w14:textId="77777777" w:rsidR="00E403DD" w:rsidRDefault="00637294">
            <w:r>
              <w:rPr>
                <w:rFonts w:eastAsia="Arial" w:cs="Arial"/>
              </w:rPr>
              <w:t>Mo. Müller Leo. Remplacer les centrales nucléaires de Mühleberg, Beznau I et II sans émettre de CO2 grâce aux exploitations agricoles</w:t>
            </w:r>
          </w:p>
          <w:p w14:paraId="07987529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Müller Leo. Produzione di energia elettrica senza emissioni di CO2. Le aziende agricole possono sostituire le centrali nucleari Mühleberg, Beznau I e Beznau II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D35DDD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4DB6D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22AD0D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55BE5D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156E853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C9C4BF" w14:textId="77777777" w:rsidR="00E403DD" w:rsidRDefault="00637294">
            <w:r>
              <w:rPr>
                <w:rFonts w:eastAsia="Arial" w:cs="Arial"/>
                <w:b/>
              </w:rPr>
              <w:t>19.4289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8DAA87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D3E067" w14:textId="77777777" w:rsidR="00E403DD" w:rsidRDefault="00A64BF8">
            <w:pPr>
              <w:pStyle w:val="Normal60"/>
            </w:pPr>
            <w:hyperlink r:id="rId7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3547D59" w14:textId="77777777" w:rsidR="00E403DD" w:rsidRDefault="00A64BF8">
            <w:pPr>
              <w:pStyle w:val="Normal61"/>
            </w:pPr>
            <w:hyperlink r:id="rId7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59A670" w14:textId="77777777" w:rsidR="00E403DD" w:rsidRDefault="00A64BF8">
            <w:pPr>
              <w:pStyle w:val="Normal62"/>
            </w:pPr>
            <w:hyperlink r:id="rId7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2C7C4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(Graf Maya) Schlatter. Der Bund muss für die Bewältigung der Folgen des Klimawandels auf den Schweizer Wald weitere Massnahmen ergreifen und finanzielle Mittel bereitstellen</w:t>
            </w:r>
          </w:p>
          <w:p w14:paraId="57C68311" w14:textId="77777777" w:rsidR="00E403DD" w:rsidRDefault="00637294">
            <w:r>
              <w:rPr>
                <w:rFonts w:eastAsia="Arial" w:cs="Arial"/>
              </w:rPr>
              <w:t>Mo. (Graf Maya) Schlatter. Davantage de fonds et de mesures en faveur des forêts suisses pour faire face aux effets du réchauffement climatique</w:t>
            </w:r>
          </w:p>
          <w:p w14:paraId="759F0D59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(Graf Maya) Schlatter. Per lottare contro gli effetti dei cambiamenti climatici sul bosco svizzero la Confederazione deve adottare misure supplementari e mettere a disposizione mezzi finanziari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CFF7EE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67552E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3B98F4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67C146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7F6BBA0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F8EF83" w14:textId="77777777" w:rsidR="00E403DD" w:rsidRDefault="00637294">
            <w:r>
              <w:rPr>
                <w:rFonts w:eastAsia="Arial" w:cs="Arial"/>
                <w:b/>
              </w:rPr>
              <w:t>19.4321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094357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6936C7" w14:textId="77777777" w:rsidR="00E403DD" w:rsidRDefault="00A64BF8">
            <w:pPr>
              <w:pStyle w:val="Normal63"/>
            </w:pPr>
            <w:hyperlink r:id="rId7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671F6D" w14:textId="77777777" w:rsidR="00E403DD" w:rsidRDefault="00A64BF8">
            <w:pPr>
              <w:pStyle w:val="Normal64"/>
            </w:pPr>
            <w:hyperlink r:id="rId7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2D55BD" w14:textId="77777777" w:rsidR="00E403DD" w:rsidRDefault="00A64BF8">
            <w:pPr>
              <w:pStyle w:val="Normal65"/>
            </w:pPr>
            <w:hyperlink r:id="rId7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3F15E5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Moser. Internationaler Klimaschutz. Die Schweiz muss ihren Beitrag leisten, damit die Klimawende weltweit gelingt</w:t>
            </w:r>
          </w:p>
          <w:p w14:paraId="2537AAB0" w14:textId="77777777" w:rsidR="00E403DD" w:rsidRDefault="00637294">
            <w:r>
              <w:rPr>
                <w:rFonts w:eastAsia="Arial" w:cs="Arial"/>
              </w:rPr>
              <w:t>Mo. Moser. Protection internationale du climat. La Suisse doit apporter sa contribution pour que la transition climatique soit réalisée au niveau mondial</w:t>
            </w:r>
          </w:p>
          <w:p w14:paraId="639BFA20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Moser. Protezione internazionale del clima. La Svizzera deve fornire il suo contributo affinché la transizione climatica riesca a livello mondiale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D795CF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9B0D86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62BA1A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8A4AFE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11C0720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CD855F" w14:textId="77777777" w:rsidR="00E403DD" w:rsidRDefault="00637294">
            <w:r>
              <w:rPr>
                <w:rFonts w:eastAsia="Arial" w:cs="Arial"/>
                <w:b/>
              </w:rPr>
              <w:t>19.4324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828913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D13F2D" w14:textId="77777777" w:rsidR="00E403DD" w:rsidRDefault="00A64BF8">
            <w:pPr>
              <w:pStyle w:val="Normal66"/>
            </w:pPr>
            <w:hyperlink r:id="rId7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714757" w14:textId="77777777" w:rsidR="00E403DD" w:rsidRDefault="00A64BF8">
            <w:pPr>
              <w:pStyle w:val="Normal67"/>
            </w:pPr>
            <w:hyperlink r:id="rId8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CA971A" w14:textId="77777777" w:rsidR="00E403DD" w:rsidRDefault="00A64BF8">
            <w:pPr>
              <w:pStyle w:val="Normal68"/>
            </w:pPr>
            <w:hyperlink r:id="rId8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13B560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Trede. Keine Reservebildung bei der Marktprämie für die Grosswasserkraft</w:t>
            </w:r>
          </w:p>
          <w:p w14:paraId="0321E0F2" w14:textId="77777777" w:rsidR="00E403DD" w:rsidRDefault="00637294">
            <w:r>
              <w:rPr>
                <w:rFonts w:eastAsia="Arial" w:cs="Arial"/>
              </w:rPr>
              <w:t>Mo. Trede. Prime de marché destinée à la grande hydraulique. Ne pas constituer de réserves</w:t>
            </w:r>
          </w:p>
          <w:p w14:paraId="45BF58D0" w14:textId="77777777" w:rsidR="00E403DD" w:rsidRPr="0095019E" w:rsidRDefault="00637294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Trede. </w:t>
            </w:r>
            <w:r w:rsidRPr="0095019E">
              <w:rPr>
                <w:rFonts w:eastAsia="Arial" w:cs="Arial"/>
                <w:lang w:val="it-CH"/>
              </w:rPr>
              <w:t>Rinunciare alla costituzione di riserve con i premi di mercato per le grandi centrali idroelettriche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BF068B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6AF151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B87CB4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94DBC8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3FE5735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E45A3B" w14:textId="77777777" w:rsidR="00E403DD" w:rsidRDefault="00637294">
            <w:r>
              <w:rPr>
                <w:rFonts w:eastAsia="Arial" w:cs="Arial"/>
                <w:b/>
              </w:rPr>
              <w:t>19.4329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66466D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A897E5" w14:textId="77777777" w:rsidR="00E403DD" w:rsidRDefault="00A64BF8">
            <w:pPr>
              <w:pStyle w:val="Normal69"/>
            </w:pPr>
            <w:hyperlink r:id="rId8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5D7ECEF" w14:textId="77777777" w:rsidR="00E403DD" w:rsidRDefault="00A64BF8">
            <w:pPr>
              <w:pStyle w:val="Normal70"/>
            </w:pPr>
            <w:hyperlink r:id="rId8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A93DE8" w14:textId="77777777" w:rsidR="00E403DD" w:rsidRDefault="00A64BF8">
            <w:pPr>
              <w:pStyle w:val="Normal71"/>
            </w:pPr>
            <w:hyperlink r:id="rId8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B89FC8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(Amstutz) Hurter Thomas. Luftrettung auch bei schlechtem Wetter ermöglichen. Das Low Flight Network fertigstellen, die rechtlichen Grundlagen schaffen und die Finanzierung sicherstellen</w:t>
            </w:r>
          </w:p>
          <w:p w14:paraId="0FD6A5D5" w14:textId="77777777" w:rsidR="00E403DD" w:rsidRDefault="00637294">
            <w:r w:rsidRPr="0095019E">
              <w:rPr>
                <w:rFonts w:eastAsia="Arial" w:cs="Arial"/>
                <w:lang w:val="en-US"/>
              </w:rPr>
              <w:t xml:space="preserve">Mo. (Amstutz) Hurter Thomas. Low Flight Network. </w:t>
            </w:r>
            <w:r>
              <w:rPr>
                <w:rFonts w:eastAsia="Arial" w:cs="Arial"/>
              </w:rPr>
              <w:t>Achever le réseau, créer les bases légales et assurer le financement, afin de permettre le sauvetage aérien même par mauvais temps</w:t>
            </w:r>
          </w:p>
          <w:p w14:paraId="38A49E9E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(Amstutz) Hurter Thomas. Soccorso aereo anche in caso di maltempo. Completare la Low Flight Network, creare le basi giuridiche e garantire il finanziamento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65DCC1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D2AB49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01DAD2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7E489E" w14:textId="0EAEB580" w:rsidR="00F85D28" w:rsidRDefault="00637294" w:rsidP="00F85D2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F75A286" w14:textId="77777777" w:rsidR="00F85D28" w:rsidRDefault="00F85D28" w:rsidP="00F85D28">
            <w:pPr>
              <w:rPr>
                <w:rFonts w:eastAsia="Arial" w:cs="Arial"/>
              </w:rPr>
            </w:pPr>
          </w:p>
          <w:p w14:paraId="2E067181" w14:textId="147812F7" w:rsidR="00F85D28" w:rsidRDefault="00F85D28" w:rsidP="00F85D28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1F34992F" w14:textId="2A30A673" w:rsidR="00E403DD" w:rsidRDefault="00F85D28" w:rsidP="00F85D28">
            <w:r>
              <w:rPr>
                <w:rFonts w:eastAsia="Arial" w:cs="Arial"/>
                <w:b/>
              </w:rPr>
              <w:t>am 22.9.2021</w:t>
            </w:r>
          </w:p>
        </w:tc>
      </w:tr>
      <w:tr w:rsidR="00E403DD" w14:paraId="32433FF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85E30F" w14:textId="77777777" w:rsidR="00E403DD" w:rsidRDefault="00637294">
            <w:r>
              <w:rPr>
                <w:rFonts w:eastAsia="Arial" w:cs="Arial"/>
                <w:b/>
              </w:rPr>
              <w:lastRenderedPageBreak/>
              <w:t>19.4330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64A13A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89DB54" w14:textId="77777777" w:rsidR="00E403DD" w:rsidRDefault="00A64BF8">
            <w:pPr>
              <w:pStyle w:val="Normal72"/>
            </w:pPr>
            <w:hyperlink r:id="rId8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AFF443" w14:textId="77777777" w:rsidR="00E403DD" w:rsidRDefault="00A64BF8">
            <w:pPr>
              <w:pStyle w:val="Normal73"/>
            </w:pPr>
            <w:hyperlink r:id="rId8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3AAADE" w14:textId="77777777" w:rsidR="00E403DD" w:rsidRDefault="00A64BF8">
            <w:pPr>
              <w:pStyle w:val="Normal74"/>
            </w:pPr>
            <w:hyperlink r:id="rId8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BA02A7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(Burkart) Fluri. Luftrettung auch bei schlechtem Wetter ermöglichen. Das Low Flight Network fertigstellen, die rechtlichen Grundlagen schaffen und die Finanzierung sicherstellen</w:t>
            </w:r>
          </w:p>
          <w:p w14:paraId="0A04B230" w14:textId="77777777" w:rsidR="00E403DD" w:rsidRDefault="00637294">
            <w:r w:rsidRPr="0095019E">
              <w:rPr>
                <w:rFonts w:eastAsia="Arial" w:cs="Arial"/>
                <w:lang w:val="en-US"/>
              </w:rPr>
              <w:t xml:space="preserve">Mo. (Burkart) Fluri. Low Flight Network. </w:t>
            </w:r>
            <w:r>
              <w:rPr>
                <w:rFonts w:eastAsia="Arial" w:cs="Arial"/>
              </w:rPr>
              <w:t>Achever le réseau, créer les bases légales et assurer le financement, afin de permettre le sauvetage aérien même par mauvais temps</w:t>
            </w:r>
          </w:p>
          <w:p w14:paraId="71349607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(Burkart) Fluri. Soccorso aereo anche in caso di maltempo. Completare la Low Flight Network, creare le basi giuridiche e garantire il finanziamento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6C8C66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52D04A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0D794F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C6C9B4" w14:textId="58D833C9" w:rsidR="00E403DD" w:rsidRDefault="006372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9479D14" w14:textId="77777777" w:rsidR="00F85D28" w:rsidRDefault="00F85D28">
            <w:pPr>
              <w:rPr>
                <w:rFonts w:eastAsia="Arial" w:cs="Arial"/>
              </w:rPr>
            </w:pPr>
          </w:p>
          <w:p w14:paraId="7AA8FD21" w14:textId="77777777" w:rsidR="00F85D28" w:rsidRDefault="00F85D28" w:rsidP="00F85D28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57F377AE" w14:textId="4003D007" w:rsidR="00F85D28" w:rsidRDefault="00F85D28" w:rsidP="00F85D28">
            <w:r>
              <w:rPr>
                <w:rFonts w:eastAsia="Arial" w:cs="Arial"/>
                <w:b/>
              </w:rPr>
              <w:t>am 22.9.2021</w:t>
            </w:r>
          </w:p>
        </w:tc>
      </w:tr>
      <w:tr w:rsidR="00E403DD" w14:paraId="28D99F9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F94323" w14:textId="77777777" w:rsidR="00E403DD" w:rsidRDefault="00637294">
            <w:r>
              <w:rPr>
                <w:rFonts w:eastAsia="Arial" w:cs="Arial"/>
                <w:b/>
              </w:rPr>
              <w:t>19.4331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918B33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961C8A" w14:textId="77777777" w:rsidR="00E403DD" w:rsidRDefault="00A64BF8">
            <w:pPr>
              <w:pStyle w:val="Normal75"/>
            </w:pPr>
            <w:hyperlink r:id="rId8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D19B19" w14:textId="77777777" w:rsidR="00E403DD" w:rsidRDefault="00A64BF8">
            <w:pPr>
              <w:pStyle w:val="Normal76"/>
            </w:pPr>
            <w:hyperlink r:id="rId8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37D410" w14:textId="77777777" w:rsidR="00E403DD" w:rsidRDefault="00A64BF8">
            <w:pPr>
              <w:pStyle w:val="Normal77"/>
            </w:pPr>
            <w:hyperlink r:id="rId9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CF5CAE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Aebischer Matthias. Luftrettung auch bei schlechtem Wetter ermöglichen. Das Low Flight Network fertigstellen, die rechtlichen Grundlagen schaffen und die Finanzierung sicherstellen</w:t>
            </w:r>
          </w:p>
          <w:p w14:paraId="5A234438" w14:textId="77777777" w:rsidR="00E403DD" w:rsidRDefault="00637294">
            <w:r w:rsidRPr="0095019E">
              <w:rPr>
                <w:rFonts w:eastAsia="Arial" w:cs="Arial"/>
                <w:lang w:val="en-US"/>
              </w:rPr>
              <w:t xml:space="preserve">Mo. Aebischer Matthias. Low Flight Network. </w:t>
            </w:r>
            <w:r>
              <w:rPr>
                <w:rFonts w:eastAsia="Arial" w:cs="Arial"/>
              </w:rPr>
              <w:t>Achever le réseau, créer les bases légales et assurer le financement, afin de permettre le sauvetage aérien même par mauvais temps</w:t>
            </w:r>
          </w:p>
          <w:p w14:paraId="15FCFD5A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Aebischer Matthias. Soccorso aereo anche in caso di maltempo. Completare la Low Flight Network, creare le basi giuridiche e garantire il finanziamento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90137A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48087D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7A5CBC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2A7A58" w14:textId="77777777" w:rsidR="00E403DD" w:rsidRDefault="006372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0C830C78" w14:textId="77777777" w:rsidR="00F85D28" w:rsidRDefault="00F85D28" w:rsidP="00F85D28">
            <w:pPr>
              <w:rPr>
                <w:rFonts w:eastAsia="Arial" w:cs="Arial"/>
              </w:rPr>
            </w:pPr>
          </w:p>
          <w:p w14:paraId="1A82109E" w14:textId="77777777" w:rsidR="00F85D28" w:rsidRDefault="00F85D28" w:rsidP="00F85D28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7A444A0C" w14:textId="0AC439A5" w:rsidR="00F85D28" w:rsidRDefault="00F85D28" w:rsidP="00F85D28">
            <w:r>
              <w:rPr>
                <w:rFonts w:eastAsia="Arial" w:cs="Arial"/>
                <w:b/>
              </w:rPr>
              <w:t>am 22.9.2021</w:t>
            </w:r>
          </w:p>
        </w:tc>
      </w:tr>
      <w:tr w:rsidR="00E403DD" w14:paraId="0F0BB9B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CBB5ED" w14:textId="77777777" w:rsidR="00E403DD" w:rsidRDefault="00637294">
            <w:r>
              <w:rPr>
                <w:rFonts w:eastAsia="Arial" w:cs="Arial"/>
                <w:b/>
              </w:rPr>
              <w:t>19.4332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0F11AE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25E5C0" w14:textId="77777777" w:rsidR="00E403DD" w:rsidRDefault="00A64BF8">
            <w:pPr>
              <w:pStyle w:val="Normal78"/>
            </w:pPr>
            <w:hyperlink r:id="rId9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EBD0A9" w14:textId="77777777" w:rsidR="00E403DD" w:rsidRDefault="00A64BF8">
            <w:pPr>
              <w:pStyle w:val="Normal79"/>
            </w:pPr>
            <w:hyperlink r:id="rId9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B0E266" w14:textId="77777777" w:rsidR="00E403DD" w:rsidRDefault="00A64BF8">
            <w:pPr>
              <w:pStyle w:val="Normal80"/>
            </w:pPr>
            <w:hyperlink r:id="rId9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EA3867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Candinas. Luftrettung auch bei schlechtem Wetter ermöglichen. Das Low Flight Network fertigstellen, die rechtlichen Grundlagen schaffen und die Finanzierung sicherstellen</w:t>
            </w:r>
          </w:p>
          <w:p w14:paraId="0F8276A0" w14:textId="77777777" w:rsidR="00E403DD" w:rsidRDefault="00637294">
            <w:r w:rsidRPr="0095019E">
              <w:rPr>
                <w:rFonts w:eastAsia="Arial" w:cs="Arial"/>
                <w:lang w:val="en-US"/>
              </w:rPr>
              <w:t xml:space="preserve">Mo. Candinas. Low Flight Network. </w:t>
            </w:r>
            <w:r>
              <w:rPr>
                <w:rFonts w:eastAsia="Arial" w:cs="Arial"/>
              </w:rPr>
              <w:t>Achever le réseau, créer les bases légales et assurer le financement, afin de permettre le sauvetage aérien même par mauvais temps</w:t>
            </w:r>
          </w:p>
          <w:p w14:paraId="1B0D9C3D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Candinas. Soccorso aereo anche in caso di maltempo. Completare la Low Flight Network, creare le basi giuridiche e garantire il finanziamento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2F87E7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7DAE83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9CD2B3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CE0FAF" w14:textId="77777777" w:rsidR="00E403DD" w:rsidRDefault="006372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0EFF4721" w14:textId="77777777" w:rsidR="00F85D28" w:rsidRDefault="00F85D28" w:rsidP="00F85D28">
            <w:pPr>
              <w:rPr>
                <w:rFonts w:eastAsia="Arial" w:cs="Arial"/>
              </w:rPr>
            </w:pPr>
          </w:p>
          <w:p w14:paraId="725877BB" w14:textId="77777777" w:rsidR="00F85D28" w:rsidRDefault="00F85D28" w:rsidP="00F85D28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194BE137" w14:textId="46F62A5C" w:rsidR="00F85D28" w:rsidRDefault="00F85D28" w:rsidP="00F85D28">
            <w:r>
              <w:rPr>
                <w:rFonts w:eastAsia="Arial" w:cs="Arial"/>
                <w:b/>
              </w:rPr>
              <w:t>am 22.9.2021</w:t>
            </w:r>
          </w:p>
        </w:tc>
      </w:tr>
      <w:tr w:rsidR="00E403DD" w14:paraId="231054A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DFBCC7" w14:textId="77777777" w:rsidR="00E403DD" w:rsidRDefault="00637294">
            <w:r>
              <w:rPr>
                <w:rFonts w:eastAsia="Arial" w:cs="Arial"/>
                <w:b/>
              </w:rPr>
              <w:t>19.4339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59F356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D90A4C" w14:textId="77777777" w:rsidR="00E403DD" w:rsidRDefault="00A64BF8">
            <w:pPr>
              <w:pStyle w:val="Normal81"/>
            </w:pPr>
            <w:hyperlink r:id="rId9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6D0090" w14:textId="77777777" w:rsidR="00E403DD" w:rsidRDefault="00A64BF8">
            <w:pPr>
              <w:pStyle w:val="Normal82"/>
            </w:pPr>
            <w:hyperlink r:id="rId9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BB975D" w14:textId="77777777" w:rsidR="00E403DD" w:rsidRDefault="00A64BF8">
            <w:pPr>
              <w:pStyle w:val="Normal83"/>
            </w:pPr>
            <w:hyperlink r:id="rId9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AA98CA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Candinas. Schutz der Landesflughäfen vor Drohnen</w:t>
            </w:r>
          </w:p>
          <w:p w14:paraId="11B4343C" w14:textId="77777777" w:rsidR="00E403DD" w:rsidRDefault="00637294">
            <w:r>
              <w:rPr>
                <w:rFonts w:eastAsia="Arial" w:cs="Arial"/>
              </w:rPr>
              <w:t>Mo. Candinas. Protection des aéroports nationaux contre les drones</w:t>
            </w:r>
          </w:p>
          <w:p w14:paraId="494493C6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Candinas. Proteggere gli aerodromi nazionali dai droni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E5F2B0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9C2906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DE91E9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908377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6AB5783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8D78FE" w14:textId="77777777" w:rsidR="00E403DD" w:rsidRDefault="00637294">
            <w:r>
              <w:rPr>
                <w:rFonts w:eastAsia="Arial" w:cs="Arial"/>
                <w:b/>
              </w:rPr>
              <w:t>19.4341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6783B1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33C17D" w14:textId="77777777" w:rsidR="00E403DD" w:rsidRDefault="00A64BF8">
            <w:pPr>
              <w:pStyle w:val="Normal84"/>
            </w:pPr>
            <w:hyperlink r:id="rId9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92CE59" w14:textId="77777777" w:rsidR="00E403DD" w:rsidRDefault="00A64BF8">
            <w:pPr>
              <w:pStyle w:val="Normal85"/>
            </w:pPr>
            <w:hyperlink r:id="rId9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03196E" w14:textId="77777777" w:rsidR="00E403DD" w:rsidRDefault="00A64BF8">
            <w:pPr>
              <w:pStyle w:val="Normal86"/>
            </w:pPr>
            <w:hyperlink r:id="rId9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F3566B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Tuena. UKW-Sender erst wie festgelegt Ende 2024 ausschalten</w:t>
            </w:r>
          </w:p>
          <w:p w14:paraId="16472F53" w14:textId="77777777" w:rsidR="00E403DD" w:rsidRPr="0095019E" w:rsidRDefault="00637294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Tuena. Abandon de la diffusion OUC à la fin de l'année 2024 seulement. </w:t>
            </w:r>
            <w:r w:rsidRPr="0095019E">
              <w:rPr>
                <w:rFonts w:eastAsia="Arial" w:cs="Arial"/>
                <w:lang w:val="it-CH"/>
              </w:rPr>
              <w:t>S'en tenir à la décision prise</w:t>
            </w:r>
          </w:p>
          <w:p w14:paraId="43EF3E92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Tuena. Disattivazione dei trasmettitori OUC. Non prima di fine 2024, come prestabilito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404273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4226B1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D34A3C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D3DC41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79D811F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D19E36" w14:textId="77777777" w:rsidR="00E403DD" w:rsidRDefault="00637294">
            <w:r>
              <w:rPr>
                <w:rFonts w:eastAsia="Arial" w:cs="Arial"/>
                <w:b/>
              </w:rPr>
              <w:t>19.4345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AF5B5A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506E74" w14:textId="77777777" w:rsidR="00E403DD" w:rsidRDefault="00A64BF8">
            <w:pPr>
              <w:pStyle w:val="Normal87"/>
            </w:pPr>
            <w:hyperlink r:id="rId10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AA1B0D" w14:textId="77777777" w:rsidR="00E403DD" w:rsidRDefault="00A64BF8">
            <w:pPr>
              <w:pStyle w:val="Normal88"/>
            </w:pPr>
            <w:hyperlink r:id="rId10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DCA36E" w14:textId="77777777" w:rsidR="00E403DD" w:rsidRDefault="00A64BF8">
            <w:pPr>
              <w:pStyle w:val="Normal89"/>
            </w:pPr>
            <w:hyperlink r:id="rId10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768768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Rösti. Verkehrserschliessung von Kandersteg bei einem Spontanereignis in Mitholz und/oder während der Räumungsarbeiten dauerhaft von Norden her sicherstellen</w:t>
            </w:r>
          </w:p>
          <w:p w14:paraId="71356F74" w14:textId="77777777" w:rsidR="00E403DD" w:rsidRDefault="00637294">
            <w:r>
              <w:rPr>
                <w:rFonts w:eastAsia="Arial" w:cs="Arial"/>
              </w:rPr>
              <w:t>Mo. Rösti. Assurer durablement le trafic par le nord de Kandersteg en cas d'évènement majeur ou de travaux d'évacuation à Mitholz</w:t>
            </w:r>
          </w:p>
          <w:p w14:paraId="2A01AAB4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Rösti. Assicurare l'accesso da nord a Kandersteg anche in caso di evento imprevisto e/o di lavori di sgombero a Mitholz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FE9515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AA0A5D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5C736B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C49D6D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45EEF10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3754B3" w14:textId="77777777" w:rsidR="00E403DD" w:rsidRDefault="00637294">
            <w:r>
              <w:rPr>
                <w:rFonts w:eastAsia="Arial" w:cs="Arial"/>
                <w:b/>
              </w:rPr>
              <w:lastRenderedPageBreak/>
              <w:t>19.4365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B95AF9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E3FDB7" w14:textId="77777777" w:rsidR="00E403DD" w:rsidRDefault="00A64BF8">
            <w:pPr>
              <w:pStyle w:val="Normal90"/>
            </w:pPr>
            <w:hyperlink r:id="rId10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48927AE" w14:textId="77777777" w:rsidR="00E403DD" w:rsidRDefault="00A64BF8">
            <w:pPr>
              <w:pStyle w:val="Normal91"/>
            </w:pPr>
            <w:hyperlink r:id="rId10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C3FBA8" w14:textId="77777777" w:rsidR="00E403DD" w:rsidRDefault="00A64BF8">
            <w:pPr>
              <w:pStyle w:val="Normal92"/>
            </w:pPr>
            <w:hyperlink r:id="rId10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9A0D69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it-CH"/>
              </w:rPr>
              <w:t xml:space="preserve">Mo. (Sommaruga Carlo) Friedl Claudia. </w:t>
            </w:r>
            <w:r w:rsidRPr="0095019E">
              <w:rPr>
                <w:rFonts w:eastAsia="Arial" w:cs="Arial"/>
                <w:lang w:val="de-CH"/>
              </w:rPr>
              <w:t>Agenda 2030. Damit alle Bürgerinnen und Bürger informiert sind und sich angesprochen fühlen, soll der Bundesrat eine langfristig angelegte Informationskampagne über die Ziele für nachhaltige Entwicklung vorsehen</w:t>
            </w:r>
          </w:p>
          <w:p w14:paraId="22014386" w14:textId="77777777" w:rsidR="00E403DD" w:rsidRDefault="00637294">
            <w:r w:rsidRPr="0095019E">
              <w:rPr>
                <w:rFonts w:eastAsia="Arial" w:cs="Arial"/>
                <w:lang w:val="it-CH"/>
              </w:rPr>
              <w:t xml:space="preserve">Mo. (Sommaruga Carlo) Friedl Claudia. </w:t>
            </w:r>
            <w:r>
              <w:rPr>
                <w:rFonts w:eastAsia="Arial" w:cs="Arial"/>
              </w:rPr>
              <w:t>Agenda 2030. Pour que tous les habitants soient informés et se sentent concernés, le Conseil fédéral est chargé de développer une campagne continue sur les objectifs du développement durable</w:t>
            </w:r>
          </w:p>
          <w:p w14:paraId="25881F02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(Sommaruga Carlo) Friedl Claudia. Agenda 2030. Campagna informativa permanente da parte del Consiglio federale sugli obiettivi di sviluppo sostenibile per l'informazione e la partecipazione di tutti i cittadini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1A5376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00B77F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8C770C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C00790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3090AAD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A2ACCE" w14:textId="77777777" w:rsidR="00E403DD" w:rsidRDefault="00637294">
            <w:r>
              <w:rPr>
                <w:rFonts w:eastAsia="Arial" w:cs="Arial"/>
                <w:b/>
              </w:rPr>
              <w:t>19.4367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CC4B4E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71BB8A" w14:textId="77777777" w:rsidR="00E403DD" w:rsidRDefault="00A64BF8">
            <w:pPr>
              <w:pStyle w:val="Normal93"/>
            </w:pPr>
            <w:hyperlink r:id="rId10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346C8E" w14:textId="77777777" w:rsidR="00E403DD" w:rsidRDefault="00A64BF8">
            <w:pPr>
              <w:pStyle w:val="Normal94"/>
            </w:pPr>
            <w:hyperlink r:id="rId10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D35721B" w14:textId="77777777" w:rsidR="00E403DD" w:rsidRDefault="00A64BF8">
            <w:pPr>
              <w:pStyle w:val="Normal95"/>
            </w:pPr>
            <w:hyperlink r:id="rId108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674CA7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(Graf Maya) Klopfenstein Broggini. Der Bundesrat wird aufgefordert, sich dafür einzusetzen, dass an allen Landesflughäfen der Schweiz die gleichen Nachtflugsperren wie in Zürich gelten</w:t>
            </w:r>
          </w:p>
          <w:p w14:paraId="03F46A27" w14:textId="77777777" w:rsidR="00E403DD" w:rsidRDefault="00637294">
            <w:r w:rsidRPr="0095019E">
              <w:rPr>
                <w:rFonts w:eastAsia="Arial" w:cs="Arial"/>
                <w:lang w:val="de-CH"/>
              </w:rPr>
              <w:t xml:space="preserve">Mo. (Graf Maya) Klopfenstein Broggini. </w:t>
            </w:r>
            <w:r>
              <w:rPr>
                <w:rFonts w:eastAsia="Arial" w:cs="Arial"/>
              </w:rPr>
              <w:t>Le Conseil fédéral est chargé de faire en sorte que l'interdiction des vols de nuit soit appliquée dans tous les aéroports de Suisse de la même manière qu'à l'aéroport de Zurich</w:t>
            </w:r>
          </w:p>
          <w:p w14:paraId="52991895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de-CH"/>
              </w:rPr>
              <w:t xml:space="preserve">Mo. (Graf Maya) Klopfenstein Broggini. </w:t>
            </w:r>
            <w:r w:rsidRPr="0095019E">
              <w:rPr>
                <w:rFonts w:eastAsia="Arial" w:cs="Arial"/>
                <w:lang w:val="it-CH"/>
              </w:rPr>
              <w:t>Il Consiglio federale è incaricato di adoperarsi a favore di un divieto di volo notturno uniforme in tutti gli aeroporti nazionali sulla base di quello attualmente in vigore a Zurigo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50F1BB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567875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58256D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A0A96D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7DBA4FD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F6D7B1" w14:textId="77777777" w:rsidR="00E403DD" w:rsidRDefault="00637294">
            <w:r>
              <w:rPr>
                <w:rFonts w:eastAsia="Arial" w:cs="Arial"/>
                <w:b/>
              </w:rPr>
              <w:t>19.4476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BD761E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694E6B" w14:textId="77777777" w:rsidR="00E403DD" w:rsidRDefault="00A64BF8">
            <w:pPr>
              <w:pStyle w:val="Normal96"/>
            </w:pPr>
            <w:hyperlink r:id="rId109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F21989" w14:textId="77777777" w:rsidR="00E403DD" w:rsidRDefault="00A64BF8">
            <w:pPr>
              <w:pStyle w:val="Normal97"/>
            </w:pPr>
            <w:hyperlink r:id="rId110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CAA596" w14:textId="77777777" w:rsidR="00E403DD" w:rsidRDefault="00A64BF8">
            <w:pPr>
              <w:pStyle w:val="Normal98"/>
            </w:pPr>
            <w:hyperlink r:id="rId111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3F5F67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Quadri. Schweizerische Post. Nein zur angekündigten drastischen Erhöhung der Schaltergebühren</w:t>
            </w:r>
          </w:p>
          <w:p w14:paraId="4A3BF28C" w14:textId="77777777" w:rsidR="00E403DD" w:rsidRDefault="00637294">
            <w:r>
              <w:rPr>
                <w:rFonts w:eastAsia="Arial" w:cs="Arial"/>
              </w:rPr>
              <w:t>Mo. Quadri. Non à l'augmentation exorbitante des commissions prélevées sur les opérations au guichet postal</w:t>
            </w:r>
          </w:p>
          <w:p w14:paraId="78D4AFB6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Quadri. NO al drastico rincaro delle commissioni per operazioni allo sportello annunciato dalla Posta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65C491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32B46F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40E448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8295D2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07B8D43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95A792" w14:textId="77777777" w:rsidR="00E403DD" w:rsidRDefault="00637294">
            <w:r>
              <w:rPr>
                <w:rFonts w:eastAsia="Arial" w:cs="Arial"/>
                <w:b/>
              </w:rPr>
              <w:t>19.4477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4A7C5B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9193B0" w14:textId="77777777" w:rsidR="00E403DD" w:rsidRDefault="00A64BF8">
            <w:pPr>
              <w:pStyle w:val="Normal99"/>
            </w:pPr>
            <w:hyperlink r:id="rId112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DB9E9B" w14:textId="77777777" w:rsidR="00E403DD" w:rsidRDefault="00A64BF8">
            <w:pPr>
              <w:pStyle w:val="Normal100"/>
            </w:pPr>
            <w:hyperlink r:id="rId113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E6067B8" w14:textId="77777777" w:rsidR="00E403DD" w:rsidRDefault="00A64BF8">
            <w:pPr>
              <w:pStyle w:val="Normal101"/>
            </w:pPr>
            <w:hyperlink r:id="rId114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77B54B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Mo. Quadri. Einreisesteuer für Grenzgängerinnen und Grenzgänger. Wenn das Klima wirklich eine Priorität ist, muss jetzt gehandelt werden!</w:t>
            </w:r>
          </w:p>
          <w:p w14:paraId="4272C19B" w14:textId="77777777" w:rsidR="00E403DD" w:rsidRDefault="00637294">
            <w:r>
              <w:rPr>
                <w:rFonts w:eastAsia="Arial" w:cs="Arial"/>
              </w:rPr>
              <w:t>Mo. Quadri. Taxe d'entrée pour les frontaliers. Si le climat est prioritaire, qu'on agisse en conséquence!</w:t>
            </w:r>
          </w:p>
          <w:p w14:paraId="477A3C76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Mo. Quadri. Tasse d'entrata per frontalieri. Se il clima è prioritario, si intervenga!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6E5CF3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F0A734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4B2FF5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7BC170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  <w:tr w:rsidR="00E403DD" w14:paraId="383AD1D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B1CC05" w14:textId="77777777" w:rsidR="00E403DD" w:rsidRDefault="00637294">
            <w:r>
              <w:rPr>
                <w:rFonts w:eastAsia="Arial" w:cs="Arial"/>
                <w:b/>
              </w:rPr>
              <w:t>19.4503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ECC2B2" w14:textId="77777777" w:rsidR="00E403DD" w:rsidRDefault="00637294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F5E934" w14:textId="77777777" w:rsidR="00E403DD" w:rsidRDefault="00A64BF8">
            <w:pPr>
              <w:pStyle w:val="Normal102"/>
            </w:pPr>
            <w:hyperlink r:id="rId115" w:history="1">
              <w:r w:rsidR="00637294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5002EC1" w14:textId="77777777" w:rsidR="00E403DD" w:rsidRDefault="00A64BF8">
            <w:pPr>
              <w:pStyle w:val="Normal103"/>
            </w:pPr>
            <w:hyperlink r:id="rId116" w:history="1">
              <w:r w:rsidR="00637294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0E8B2A" w14:textId="77777777" w:rsidR="00E403DD" w:rsidRDefault="00A64BF8">
            <w:pPr>
              <w:pStyle w:val="Normal104"/>
            </w:pPr>
            <w:hyperlink r:id="rId117" w:history="1">
              <w:r w:rsidR="00637294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FD970F" w14:textId="77777777" w:rsidR="00E403DD" w:rsidRPr="0095019E" w:rsidRDefault="00637294">
            <w:pPr>
              <w:rPr>
                <w:lang w:val="de-CH"/>
              </w:rPr>
            </w:pPr>
            <w:r w:rsidRPr="0095019E">
              <w:rPr>
                <w:rFonts w:eastAsia="Arial" w:cs="Arial"/>
                <w:lang w:val="de-CH"/>
              </w:rPr>
              <w:t>Po. Masshardt. Biodiversitätsverluste und die daraus resultierenden finanziellen Risiken</w:t>
            </w:r>
          </w:p>
          <w:p w14:paraId="4E98FB42" w14:textId="77777777" w:rsidR="00E403DD" w:rsidRDefault="00637294">
            <w:r>
              <w:rPr>
                <w:rFonts w:eastAsia="Arial" w:cs="Arial"/>
              </w:rPr>
              <w:t>Po. Masshardt. Risques financiers engendrés par les pertes de biodiversité</w:t>
            </w:r>
          </w:p>
          <w:p w14:paraId="5DEBE087" w14:textId="77777777" w:rsidR="00E403DD" w:rsidRPr="0095019E" w:rsidRDefault="00637294">
            <w:pPr>
              <w:rPr>
                <w:lang w:val="it-CH"/>
              </w:rPr>
            </w:pPr>
            <w:r w:rsidRPr="0095019E">
              <w:rPr>
                <w:rFonts w:eastAsia="Arial" w:cs="Arial"/>
                <w:lang w:val="it-CH"/>
              </w:rPr>
              <w:t>Po. Masshardt. Perdita di biodiversità e rischi finanziari derivanti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1174CF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BAF3E7" w14:textId="77777777" w:rsidR="00E403DD" w:rsidRPr="0095019E" w:rsidRDefault="00E403DD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2BC26D" w14:textId="77777777" w:rsidR="00E403DD" w:rsidRDefault="00637294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CEC3D0" w14:textId="77777777" w:rsidR="00E403DD" w:rsidRDefault="00637294">
            <w:r>
              <w:rPr>
                <w:rFonts w:eastAsia="Arial" w:cs="Arial"/>
              </w:rPr>
              <w:t>✖</w:t>
            </w:r>
          </w:p>
        </w:tc>
      </w:tr>
    </w:tbl>
    <w:p w14:paraId="4390DF53" w14:textId="77777777" w:rsidR="00E403DD" w:rsidRDefault="00637294">
      <w:r>
        <w:rPr>
          <w:rFonts w:eastAsia="Arial" w:cs="Arial"/>
          <w:sz w:val="14"/>
        </w:rPr>
        <w:t>*     Annahme/Adoption/Adozione +</w:t>
      </w:r>
    </w:p>
    <w:p w14:paraId="27D4522A" w14:textId="77777777" w:rsidR="00E403DD" w:rsidRDefault="00637294">
      <w:r>
        <w:rPr>
          <w:rFonts w:eastAsia="Arial" w:cs="Arial"/>
          <w:sz w:val="14"/>
        </w:rPr>
        <w:t xml:space="preserve">      Ablehnung/Rejet/Reiezione -</w:t>
      </w:r>
    </w:p>
    <w:p w14:paraId="1760D506" w14:textId="77777777" w:rsidR="00E403DD" w:rsidRDefault="00637294">
      <w:r>
        <w:rPr>
          <w:rFonts w:eastAsia="Arial" w:cs="Arial"/>
          <w:sz w:val="14"/>
        </w:rPr>
        <w:t>**   Ja/Oui/Sì ✔</w:t>
      </w:r>
    </w:p>
    <w:p w14:paraId="78D910C2" w14:textId="77777777" w:rsidR="00E403DD" w:rsidRDefault="00637294">
      <w:r>
        <w:rPr>
          <w:rFonts w:eastAsia="Arial" w:cs="Arial"/>
          <w:sz w:val="14"/>
        </w:rPr>
        <w:t xml:space="preserve">      Nein/Non/No ✖</w:t>
      </w:r>
    </w:p>
    <w:sectPr w:rsidR="00E403DD" w:rsidSect="00A011C3">
      <w:headerReference w:type="even" r:id="rId118"/>
      <w:headerReference w:type="default" r:id="rId119"/>
      <w:footerReference w:type="default" r:id="rId120"/>
      <w:headerReference w:type="first" r:id="rId121"/>
      <w:footerReference w:type="first" r:id="rId12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2775" w14:textId="77777777" w:rsidR="008E1D96" w:rsidRDefault="008E1D96">
      <w:r>
        <w:separator/>
      </w:r>
    </w:p>
  </w:endnote>
  <w:endnote w:type="continuationSeparator" w:id="0">
    <w:p w14:paraId="0FD406CD" w14:textId="77777777" w:rsidR="008E1D96" w:rsidRDefault="008E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64C7" w14:textId="6EBB64FB" w:rsidR="008E1D96" w:rsidRPr="00F05DDF" w:rsidRDefault="008E1D96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64BF8">
      <w:rPr>
        <w:bCs/>
        <w:noProof/>
      </w:rPr>
      <w:t>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64BF8" w:rsidRPr="00A64BF8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3A72E66F" w14:textId="77777777" w:rsidR="008E1D96" w:rsidRDefault="008E1D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A3739" w14:textId="7B4063D1" w:rsidR="008E1D96" w:rsidRPr="00F05DDF" w:rsidRDefault="008E1D96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64BF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64BF8" w:rsidRPr="00A64BF8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3474F18C" w14:textId="77777777" w:rsidR="00A64BF8" w:rsidRDefault="00A64BF8" w:rsidP="00A64BF8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406574FA" w14:textId="77777777" w:rsidR="008E1D96" w:rsidRDefault="008E1D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B689A" w14:textId="77777777" w:rsidR="008E1D96" w:rsidRDefault="008E1D96">
      <w:r>
        <w:separator/>
      </w:r>
    </w:p>
  </w:footnote>
  <w:footnote w:type="continuationSeparator" w:id="0">
    <w:p w14:paraId="10F1219A" w14:textId="77777777" w:rsidR="008E1D96" w:rsidRDefault="008E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E4B42" w14:textId="77777777" w:rsidR="008E1D96" w:rsidRDefault="008E1D96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CDA06DB" w14:textId="77777777" w:rsidR="008E1D96" w:rsidRDefault="008E1D96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C753" w14:textId="77777777" w:rsidR="008E1D96" w:rsidRDefault="008E1D96">
    <w:pPr>
      <w:pStyle w:val="Kopfzeile"/>
    </w:pPr>
  </w:p>
  <w:p w14:paraId="5A276EDA" w14:textId="77777777" w:rsidR="008E1D96" w:rsidRDefault="008E1D96">
    <w:pPr>
      <w:pStyle w:val="Kopfzeile"/>
    </w:pPr>
  </w:p>
  <w:p w14:paraId="35D487C6" w14:textId="77777777" w:rsidR="008E1D96" w:rsidRDefault="008E1D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E1D96" w:rsidRPr="00A64BF8" w14:paraId="010488E5" w14:textId="77777777" w:rsidTr="00A011C3">
      <w:tc>
        <w:tcPr>
          <w:tcW w:w="6096" w:type="dxa"/>
          <w:gridSpan w:val="3"/>
        </w:tcPr>
        <w:p w14:paraId="243EE113" w14:textId="77777777" w:rsidR="008E1D96" w:rsidRPr="007610F2" w:rsidRDefault="008E1D96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B4D56B8" w14:textId="77777777" w:rsidR="008E1D96" w:rsidRPr="002B70F4" w:rsidRDefault="008E1D96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8E1D96" w:rsidRPr="00A64BF8" w14:paraId="7B531D84" w14:textId="77777777" w:rsidTr="00A011C3">
      <w:tc>
        <w:tcPr>
          <w:tcW w:w="993" w:type="dxa"/>
        </w:tcPr>
        <w:p w14:paraId="26046793" w14:textId="77777777" w:rsidR="008E1D96" w:rsidRDefault="008E1D96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A731353" wp14:editId="3BB93FAE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742813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2063697" w14:textId="77777777" w:rsidR="008E1D96" w:rsidRDefault="008E1D96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4CCCB899" wp14:editId="64D29CDF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19477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90913" w14:textId="001F5D68" w:rsidR="008E1D96" w:rsidRPr="002F71A0" w:rsidRDefault="008E1D96" w:rsidP="00A64BF8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A64BF8">
            <w:rPr>
              <w:noProof/>
              <w:lang w:val="en-US"/>
            </w:rPr>
            <w:t>23.09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3F8DE14D" w14:textId="77777777" w:rsidR="008E1D96" w:rsidRPr="0095019E" w:rsidRDefault="008E1D96" w:rsidP="006A3A42">
          <w:pPr>
            <w:pStyle w:val="Empfaenger"/>
            <w:rPr>
              <w:sz w:val="22"/>
              <w:lang w:val="fr-CH"/>
            </w:rPr>
          </w:pPr>
          <w:r w:rsidRPr="0095019E">
            <w:rPr>
              <w:noProof/>
              <w:sz w:val="22"/>
              <w:lang w:val="fr-CH"/>
            </w:rPr>
            <w:t>Ergänzung zur Tagesordnung</w:t>
          </w:r>
        </w:p>
        <w:p w14:paraId="41091C6E" w14:textId="77777777" w:rsidR="008E1D96" w:rsidRPr="0095019E" w:rsidRDefault="008E1D96" w:rsidP="006A3A42">
          <w:pPr>
            <w:pStyle w:val="Empfaenger"/>
            <w:rPr>
              <w:sz w:val="22"/>
              <w:lang w:val="fr-CH"/>
            </w:rPr>
          </w:pPr>
          <w:r w:rsidRPr="0095019E">
            <w:rPr>
              <w:noProof/>
              <w:sz w:val="22"/>
              <w:lang w:val="fr-CH"/>
            </w:rPr>
            <w:t>Complément à l'ordre du jour</w:t>
          </w:r>
        </w:p>
        <w:p w14:paraId="159474D7" w14:textId="77777777" w:rsidR="008E1D96" w:rsidRPr="00637294" w:rsidRDefault="008E1D96" w:rsidP="006A3A42">
          <w:pPr>
            <w:pStyle w:val="Empfaenger"/>
            <w:rPr>
              <w:sz w:val="22"/>
              <w:lang w:val="it-CH"/>
            </w:rPr>
          </w:pPr>
          <w:r w:rsidRPr="00637294">
            <w:rPr>
              <w:noProof/>
              <w:sz w:val="22"/>
              <w:lang w:val="it-CH"/>
            </w:rPr>
            <w:t>Complemento all'ordine del giorno</w:t>
          </w:r>
          <w:r w:rsidRPr="00637294">
            <w:rPr>
              <w:sz w:val="22"/>
              <w:lang w:val="it-CH"/>
            </w:rPr>
            <w:br/>
          </w:r>
          <w:r w:rsidRPr="00637294">
            <w:rPr>
              <w:noProof/>
              <w:sz w:val="22"/>
              <w:lang w:val="it-CH"/>
            </w:rPr>
            <w:t>Herbstsession 2021</w:t>
          </w:r>
          <w:r w:rsidRPr="00637294">
            <w:rPr>
              <w:sz w:val="22"/>
              <w:lang w:val="it-CH"/>
            </w:rPr>
            <w:br/>
          </w:r>
          <w:r w:rsidRPr="00637294">
            <w:rPr>
              <w:noProof/>
              <w:sz w:val="22"/>
              <w:lang w:val="it-CH"/>
            </w:rPr>
            <w:t>Session d'automne 2021</w:t>
          </w:r>
          <w:r w:rsidRPr="00637294">
            <w:rPr>
              <w:sz w:val="22"/>
              <w:lang w:val="it-CH"/>
            </w:rPr>
            <w:br/>
          </w:r>
          <w:r w:rsidRPr="00637294">
            <w:rPr>
              <w:noProof/>
              <w:sz w:val="22"/>
              <w:lang w:val="it-CH"/>
            </w:rPr>
            <w:t>Sessione autunnale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3EA040BF" w14:textId="77777777" w:rsidR="008E1D96" w:rsidRPr="00637294" w:rsidRDefault="008E1D96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A5F6742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B1E4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EA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2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0C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A6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68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2E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6B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3049C8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20E3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8B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21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E1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05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EE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C8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CE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2F805A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6DAC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40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8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63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8E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69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A3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A2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56D0BE6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26E1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88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8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8F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41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C2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1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24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B1E2C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A61A50" w:tentative="1">
      <w:start w:val="1"/>
      <w:numFmt w:val="lowerLetter"/>
      <w:lvlText w:val="%2."/>
      <w:lvlJc w:val="left"/>
      <w:pPr>
        <w:ind w:left="1080" w:hanging="360"/>
      </w:pPr>
    </w:lvl>
    <w:lvl w:ilvl="2" w:tplc="CFD6E29E" w:tentative="1">
      <w:start w:val="1"/>
      <w:numFmt w:val="lowerRoman"/>
      <w:lvlText w:val="%3."/>
      <w:lvlJc w:val="right"/>
      <w:pPr>
        <w:ind w:left="1800" w:hanging="180"/>
      </w:pPr>
    </w:lvl>
    <w:lvl w:ilvl="3" w:tplc="7B76CE26" w:tentative="1">
      <w:start w:val="1"/>
      <w:numFmt w:val="decimal"/>
      <w:lvlText w:val="%4."/>
      <w:lvlJc w:val="left"/>
      <w:pPr>
        <w:ind w:left="2520" w:hanging="360"/>
      </w:pPr>
    </w:lvl>
    <w:lvl w:ilvl="4" w:tplc="37423372" w:tentative="1">
      <w:start w:val="1"/>
      <w:numFmt w:val="lowerLetter"/>
      <w:lvlText w:val="%5."/>
      <w:lvlJc w:val="left"/>
      <w:pPr>
        <w:ind w:left="3240" w:hanging="360"/>
      </w:pPr>
    </w:lvl>
    <w:lvl w:ilvl="5" w:tplc="05E0ACB4" w:tentative="1">
      <w:start w:val="1"/>
      <w:numFmt w:val="lowerRoman"/>
      <w:lvlText w:val="%6."/>
      <w:lvlJc w:val="right"/>
      <w:pPr>
        <w:ind w:left="3960" w:hanging="180"/>
      </w:pPr>
    </w:lvl>
    <w:lvl w:ilvl="6" w:tplc="EBE65E22" w:tentative="1">
      <w:start w:val="1"/>
      <w:numFmt w:val="decimal"/>
      <w:lvlText w:val="%7."/>
      <w:lvlJc w:val="left"/>
      <w:pPr>
        <w:ind w:left="4680" w:hanging="360"/>
      </w:pPr>
    </w:lvl>
    <w:lvl w:ilvl="7" w:tplc="B8AE980E" w:tentative="1">
      <w:start w:val="1"/>
      <w:numFmt w:val="lowerLetter"/>
      <w:lvlText w:val="%8."/>
      <w:lvlJc w:val="left"/>
      <w:pPr>
        <w:ind w:left="5400" w:hanging="360"/>
      </w:pPr>
    </w:lvl>
    <w:lvl w:ilvl="8" w:tplc="C67059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17E4F0C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8222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2F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2A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6A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47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A2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AB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AB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428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EFD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4615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294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1D96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19E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4BF8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12D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5F72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03DD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85D2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476F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206463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A64BF8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194067" TargetMode="External"/><Relationship Id="rId117" Type="http://schemas.openxmlformats.org/officeDocument/2006/relationships/hyperlink" Target="https://www.parlament.ch/it/ratsbetrieb/suche-curia-vista/geschaeft?AffairId=20194503" TargetMode="External"/><Relationship Id="rId21" Type="http://schemas.openxmlformats.org/officeDocument/2006/relationships/hyperlink" Target="https://www.parlament.ch/it/ratsbetrieb/suche-curia-vista/geschaeft?AffairId=20194011" TargetMode="External"/><Relationship Id="rId42" Type="http://schemas.openxmlformats.org/officeDocument/2006/relationships/hyperlink" Target="https://www.parlament.ch/it/ratsbetrieb/suche-curia-vista/geschaeft?AffairId=20194162" TargetMode="External"/><Relationship Id="rId47" Type="http://schemas.openxmlformats.org/officeDocument/2006/relationships/hyperlink" Target="https://www.parlament.ch/fr/ratsbetrieb/suche-curia-vista/geschaeft?AffairId=20194184" TargetMode="External"/><Relationship Id="rId63" Type="http://schemas.openxmlformats.org/officeDocument/2006/relationships/hyperlink" Target="https://www.parlament.ch/it/ratsbetrieb/suche-curia-vista/geschaeft?AffairId=20194243" TargetMode="External"/><Relationship Id="rId68" Type="http://schemas.openxmlformats.org/officeDocument/2006/relationships/hyperlink" Target="https://www.parlament.ch/fr/ratsbetrieb/suche-curia-vista/geschaeft?AffairId=20194260" TargetMode="External"/><Relationship Id="rId84" Type="http://schemas.openxmlformats.org/officeDocument/2006/relationships/hyperlink" Target="https://www.parlament.ch/it/ratsbetrieb/suche-curia-vista/geschaeft?AffairId=20194329" TargetMode="External"/><Relationship Id="rId89" Type="http://schemas.openxmlformats.org/officeDocument/2006/relationships/hyperlink" Target="https://www.parlament.ch/fr/ratsbetrieb/suche-curia-vista/geschaeft?AffairId=20194331" TargetMode="External"/><Relationship Id="rId112" Type="http://schemas.openxmlformats.org/officeDocument/2006/relationships/hyperlink" Target="https://www.parlament.ch/de/ratsbetrieb/suche-curia-vista/geschaeft?AffairId=20194477" TargetMode="External"/><Relationship Id="rId16" Type="http://schemas.openxmlformats.org/officeDocument/2006/relationships/hyperlink" Target="https://www.parlament.ch/de/ratsbetrieb/suche-curia-vista/geschaeft?AffairId=20213329" TargetMode="External"/><Relationship Id="rId107" Type="http://schemas.openxmlformats.org/officeDocument/2006/relationships/hyperlink" Target="https://www.parlament.ch/fr/ratsbetrieb/suche-curia-vista/geschaeft?AffairId=2019436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194081" TargetMode="External"/><Relationship Id="rId37" Type="http://schemas.openxmlformats.org/officeDocument/2006/relationships/hyperlink" Target="https://www.parlament.ch/de/ratsbetrieb/suche-curia-vista/geschaeft?AffairId=20194145" TargetMode="External"/><Relationship Id="rId53" Type="http://schemas.openxmlformats.org/officeDocument/2006/relationships/hyperlink" Target="https://www.parlament.ch/fr/ratsbetrieb/suche-curia-vista/geschaeft?AffairId=20194218" TargetMode="External"/><Relationship Id="rId58" Type="http://schemas.openxmlformats.org/officeDocument/2006/relationships/hyperlink" Target="https://www.parlament.ch/de/ratsbetrieb/suche-curia-vista/geschaeft?AffairId=20194227" TargetMode="External"/><Relationship Id="rId74" Type="http://schemas.openxmlformats.org/officeDocument/2006/relationships/hyperlink" Target="https://www.parlament.ch/fr/ratsbetrieb/suche-curia-vista/geschaeft?AffairId=20194289" TargetMode="External"/><Relationship Id="rId79" Type="http://schemas.openxmlformats.org/officeDocument/2006/relationships/hyperlink" Target="https://www.parlament.ch/de/ratsbetrieb/suche-curia-vista/geschaeft?AffairId=20194324" TargetMode="External"/><Relationship Id="rId102" Type="http://schemas.openxmlformats.org/officeDocument/2006/relationships/hyperlink" Target="https://www.parlament.ch/it/ratsbetrieb/suche-curia-vista/geschaeft?AffairId=20194345" TargetMode="External"/><Relationship Id="rId123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94243" TargetMode="External"/><Relationship Id="rId82" Type="http://schemas.openxmlformats.org/officeDocument/2006/relationships/hyperlink" Target="https://www.parlament.ch/de/ratsbetrieb/suche-curia-vista/geschaeft?AffairId=20194329" TargetMode="External"/><Relationship Id="rId90" Type="http://schemas.openxmlformats.org/officeDocument/2006/relationships/hyperlink" Target="https://www.parlament.ch/it/ratsbetrieb/suche-curia-vista/geschaeft?AffairId=20194331" TargetMode="External"/><Relationship Id="rId95" Type="http://schemas.openxmlformats.org/officeDocument/2006/relationships/hyperlink" Target="https://www.parlament.ch/fr/ratsbetrieb/suche-curia-vista/geschaeft?AffairId=20194339" TargetMode="External"/><Relationship Id="rId19" Type="http://schemas.openxmlformats.org/officeDocument/2006/relationships/hyperlink" Target="https://www.parlament.ch/de/ratsbetrieb/suche-curia-vista/geschaeft?AffairId=20194011" TargetMode="External"/><Relationship Id="rId14" Type="http://schemas.openxmlformats.org/officeDocument/2006/relationships/hyperlink" Target="https://www.parlament.ch/fr/ratsbetrieb/suche-curia-vista/geschaeft?AffairId=20213076" TargetMode="External"/><Relationship Id="rId22" Type="http://schemas.openxmlformats.org/officeDocument/2006/relationships/hyperlink" Target="https://www.parlament.ch/de/ratsbetrieb/suche-curia-vista/geschaeft?AffairId=20194050" TargetMode="External"/><Relationship Id="rId27" Type="http://schemas.openxmlformats.org/officeDocument/2006/relationships/hyperlink" Target="https://www.parlament.ch/it/ratsbetrieb/suche-curia-vista/geschaeft?AffairId=20194067" TargetMode="External"/><Relationship Id="rId30" Type="http://schemas.openxmlformats.org/officeDocument/2006/relationships/hyperlink" Target="https://www.parlament.ch/it/ratsbetrieb/suche-curia-vista/geschaeft?AffairId=20194068" TargetMode="External"/><Relationship Id="rId35" Type="http://schemas.openxmlformats.org/officeDocument/2006/relationships/hyperlink" Target="https://www.parlament.ch/fr/ratsbetrieb/suche-curia-vista/geschaeft?AffairId=20194106" TargetMode="External"/><Relationship Id="rId43" Type="http://schemas.openxmlformats.org/officeDocument/2006/relationships/hyperlink" Target="https://www.parlament.ch/de/ratsbetrieb/suche-curia-vista/geschaeft?AffairId=20194163" TargetMode="External"/><Relationship Id="rId48" Type="http://schemas.openxmlformats.org/officeDocument/2006/relationships/hyperlink" Target="https://www.parlament.ch/it/ratsbetrieb/suche-curia-vista/geschaeft?AffairId=20194184" TargetMode="External"/><Relationship Id="rId56" Type="http://schemas.openxmlformats.org/officeDocument/2006/relationships/hyperlink" Target="https://www.parlament.ch/fr/ratsbetrieb/suche-curia-vista/geschaeft?AffairId=20194221" TargetMode="External"/><Relationship Id="rId64" Type="http://schemas.openxmlformats.org/officeDocument/2006/relationships/hyperlink" Target="https://www.parlament.ch/de/ratsbetrieb/suche-curia-vista/geschaeft?AffairId=20194257" TargetMode="External"/><Relationship Id="rId69" Type="http://schemas.openxmlformats.org/officeDocument/2006/relationships/hyperlink" Target="https://www.parlament.ch/it/ratsbetrieb/suche-curia-vista/geschaeft?AffairId=20194260" TargetMode="External"/><Relationship Id="rId77" Type="http://schemas.openxmlformats.org/officeDocument/2006/relationships/hyperlink" Target="https://www.parlament.ch/fr/ratsbetrieb/suche-curia-vista/geschaeft?AffairId=20194321" TargetMode="External"/><Relationship Id="rId100" Type="http://schemas.openxmlformats.org/officeDocument/2006/relationships/hyperlink" Target="https://www.parlament.ch/de/ratsbetrieb/suche-curia-vista/geschaeft?AffairId=20194345" TargetMode="External"/><Relationship Id="rId105" Type="http://schemas.openxmlformats.org/officeDocument/2006/relationships/hyperlink" Target="https://www.parlament.ch/it/ratsbetrieb/suche-curia-vista/geschaeft?AffairId=20194365" TargetMode="External"/><Relationship Id="rId113" Type="http://schemas.openxmlformats.org/officeDocument/2006/relationships/hyperlink" Target="https://www.parlament.ch/fr/ratsbetrieb/suche-curia-vista/geschaeft?AffairId=20194477" TargetMode="External"/><Relationship Id="rId118" Type="http://schemas.openxmlformats.org/officeDocument/2006/relationships/header" Target="head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4217" TargetMode="External"/><Relationship Id="rId72" Type="http://schemas.openxmlformats.org/officeDocument/2006/relationships/hyperlink" Target="https://www.parlament.ch/it/ratsbetrieb/suche-curia-vista/geschaeft?AffairId=20194264" TargetMode="External"/><Relationship Id="rId80" Type="http://schemas.openxmlformats.org/officeDocument/2006/relationships/hyperlink" Target="https://www.parlament.ch/fr/ratsbetrieb/suche-curia-vista/geschaeft?AffairId=20194324" TargetMode="External"/><Relationship Id="rId85" Type="http://schemas.openxmlformats.org/officeDocument/2006/relationships/hyperlink" Target="https://www.parlament.ch/de/ratsbetrieb/suche-curia-vista/geschaeft?AffairId=20194330" TargetMode="External"/><Relationship Id="rId93" Type="http://schemas.openxmlformats.org/officeDocument/2006/relationships/hyperlink" Target="https://www.parlament.ch/it/ratsbetrieb/suche-curia-vista/geschaeft?AffairId=20194332" TargetMode="External"/><Relationship Id="rId98" Type="http://schemas.openxmlformats.org/officeDocument/2006/relationships/hyperlink" Target="https://www.parlament.ch/fr/ratsbetrieb/suche-curia-vista/geschaeft?AffairId=20194341" TargetMode="External"/><Relationship Id="rId12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329" TargetMode="External"/><Relationship Id="rId25" Type="http://schemas.openxmlformats.org/officeDocument/2006/relationships/hyperlink" Target="https://www.parlament.ch/de/ratsbetrieb/suche-curia-vista/geschaeft?AffairId=20194067" TargetMode="External"/><Relationship Id="rId33" Type="http://schemas.openxmlformats.org/officeDocument/2006/relationships/hyperlink" Target="https://www.parlament.ch/it/ratsbetrieb/suche-curia-vista/geschaeft?AffairId=20194081" TargetMode="External"/><Relationship Id="rId38" Type="http://schemas.openxmlformats.org/officeDocument/2006/relationships/hyperlink" Target="https://www.parlament.ch/fr/ratsbetrieb/suche-curia-vista/geschaeft?AffairId=20194145" TargetMode="External"/><Relationship Id="rId46" Type="http://schemas.openxmlformats.org/officeDocument/2006/relationships/hyperlink" Target="https://www.parlament.ch/de/ratsbetrieb/suche-curia-vista/geschaeft?AffairId=20194184" TargetMode="External"/><Relationship Id="rId59" Type="http://schemas.openxmlformats.org/officeDocument/2006/relationships/hyperlink" Target="https://www.parlament.ch/fr/ratsbetrieb/suche-curia-vista/geschaeft?AffairId=20194227" TargetMode="External"/><Relationship Id="rId67" Type="http://schemas.openxmlformats.org/officeDocument/2006/relationships/hyperlink" Target="https://www.parlament.ch/de/ratsbetrieb/suche-curia-vista/geschaeft?AffairId=20194260" TargetMode="External"/><Relationship Id="rId103" Type="http://schemas.openxmlformats.org/officeDocument/2006/relationships/hyperlink" Target="https://www.parlament.ch/de/ratsbetrieb/suche-curia-vista/geschaeft?AffairId=20194365" TargetMode="External"/><Relationship Id="rId108" Type="http://schemas.openxmlformats.org/officeDocument/2006/relationships/hyperlink" Target="https://www.parlament.ch/it/ratsbetrieb/suche-curia-vista/geschaeft?AffairId=20194367" TargetMode="External"/><Relationship Id="rId116" Type="http://schemas.openxmlformats.org/officeDocument/2006/relationships/hyperlink" Target="https://www.parlament.ch/fr/ratsbetrieb/suche-curia-vista/geschaeft?AffairId=20194503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www.parlament.ch/fr/ratsbetrieb/suche-curia-vista/geschaeft?AffairId=20194011" TargetMode="External"/><Relationship Id="rId41" Type="http://schemas.openxmlformats.org/officeDocument/2006/relationships/hyperlink" Target="https://www.parlament.ch/fr/ratsbetrieb/suche-curia-vista/geschaeft?AffairId=20194162" TargetMode="External"/><Relationship Id="rId54" Type="http://schemas.openxmlformats.org/officeDocument/2006/relationships/hyperlink" Target="https://www.parlament.ch/it/ratsbetrieb/suche-curia-vista/geschaeft?AffairId=20194218" TargetMode="External"/><Relationship Id="rId62" Type="http://schemas.openxmlformats.org/officeDocument/2006/relationships/hyperlink" Target="https://www.parlament.ch/fr/ratsbetrieb/suche-curia-vista/geschaeft?AffairId=20194243" TargetMode="External"/><Relationship Id="rId70" Type="http://schemas.openxmlformats.org/officeDocument/2006/relationships/hyperlink" Target="https://www.parlament.ch/de/ratsbetrieb/suche-curia-vista/geschaeft?AffairId=20194264" TargetMode="External"/><Relationship Id="rId75" Type="http://schemas.openxmlformats.org/officeDocument/2006/relationships/hyperlink" Target="https://www.parlament.ch/it/ratsbetrieb/suche-curia-vista/geschaeft?AffairId=20194289" TargetMode="External"/><Relationship Id="rId83" Type="http://schemas.openxmlformats.org/officeDocument/2006/relationships/hyperlink" Target="https://www.parlament.ch/fr/ratsbetrieb/suche-curia-vista/geschaeft?AffairId=20194329" TargetMode="External"/><Relationship Id="rId88" Type="http://schemas.openxmlformats.org/officeDocument/2006/relationships/hyperlink" Target="https://www.parlament.ch/de/ratsbetrieb/suche-curia-vista/geschaeft?AffairId=20194331" TargetMode="External"/><Relationship Id="rId91" Type="http://schemas.openxmlformats.org/officeDocument/2006/relationships/hyperlink" Target="https://www.parlament.ch/de/ratsbetrieb/suche-curia-vista/geschaeft?AffairId=20194332" TargetMode="External"/><Relationship Id="rId96" Type="http://schemas.openxmlformats.org/officeDocument/2006/relationships/hyperlink" Target="https://www.parlament.ch/it/ratsbetrieb/suche-curia-vista/geschaeft?AffairId=20194339" TargetMode="External"/><Relationship Id="rId111" Type="http://schemas.openxmlformats.org/officeDocument/2006/relationships/hyperlink" Target="https://www.parlament.ch/it/ratsbetrieb/suche-curia-vista/geschaeft?AffairId=2019447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076" TargetMode="External"/><Relationship Id="rId23" Type="http://schemas.openxmlformats.org/officeDocument/2006/relationships/hyperlink" Target="https://www.parlament.ch/fr/ratsbetrieb/suche-curia-vista/geschaeft?AffairId=20194050" TargetMode="External"/><Relationship Id="rId28" Type="http://schemas.openxmlformats.org/officeDocument/2006/relationships/hyperlink" Target="https://www.parlament.ch/de/ratsbetrieb/suche-curia-vista/geschaeft?AffairId=20194068" TargetMode="External"/><Relationship Id="rId36" Type="http://schemas.openxmlformats.org/officeDocument/2006/relationships/hyperlink" Target="https://www.parlament.ch/it/ratsbetrieb/suche-curia-vista/geschaeft?AffairId=20194106" TargetMode="External"/><Relationship Id="rId49" Type="http://schemas.openxmlformats.org/officeDocument/2006/relationships/hyperlink" Target="https://www.parlament.ch/de/ratsbetrieb/suche-curia-vista/geschaeft?AffairId=20194217" TargetMode="External"/><Relationship Id="rId57" Type="http://schemas.openxmlformats.org/officeDocument/2006/relationships/hyperlink" Target="https://www.parlament.ch/it/ratsbetrieb/suche-curia-vista/geschaeft?AffairId=20194221" TargetMode="External"/><Relationship Id="rId106" Type="http://schemas.openxmlformats.org/officeDocument/2006/relationships/hyperlink" Target="https://www.parlament.ch/de/ratsbetrieb/suche-curia-vista/geschaeft?AffairId=20194367" TargetMode="External"/><Relationship Id="rId114" Type="http://schemas.openxmlformats.org/officeDocument/2006/relationships/hyperlink" Target="https://www.parlament.ch/it/ratsbetrieb/suche-curia-vista/geschaeft?AffairId=20194477" TargetMode="External"/><Relationship Id="rId119" Type="http://schemas.openxmlformats.org/officeDocument/2006/relationships/header" Target="header2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4081" TargetMode="External"/><Relationship Id="rId44" Type="http://schemas.openxmlformats.org/officeDocument/2006/relationships/hyperlink" Target="https://www.parlament.ch/fr/ratsbetrieb/suche-curia-vista/geschaeft?AffairId=20194163" TargetMode="External"/><Relationship Id="rId52" Type="http://schemas.openxmlformats.org/officeDocument/2006/relationships/hyperlink" Target="https://www.parlament.ch/de/ratsbetrieb/suche-curia-vista/geschaeft?AffairId=20194218" TargetMode="External"/><Relationship Id="rId60" Type="http://schemas.openxmlformats.org/officeDocument/2006/relationships/hyperlink" Target="https://www.parlament.ch/it/ratsbetrieb/suche-curia-vista/geschaeft?AffairId=20194227" TargetMode="External"/><Relationship Id="rId65" Type="http://schemas.openxmlformats.org/officeDocument/2006/relationships/hyperlink" Target="https://www.parlament.ch/fr/ratsbetrieb/suche-curia-vista/geschaeft?AffairId=20194257" TargetMode="External"/><Relationship Id="rId73" Type="http://schemas.openxmlformats.org/officeDocument/2006/relationships/hyperlink" Target="https://www.parlament.ch/de/ratsbetrieb/suche-curia-vista/geschaeft?AffairId=20194289" TargetMode="External"/><Relationship Id="rId78" Type="http://schemas.openxmlformats.org/officeDocument/2006/relationships/hyperlink" Target="https://www.parlament.ch/it/ratsbetrieb/suche-curia-vista/geschaeft?AffairId=20194321" TargetMode="External"/><Relationship Id="rId81" Type="http://schemas.openxmlformats.org/officeDocument/2006/relationships/hyperlink" Target="https://www.parlament.ch/it/ratsbetrieb/suche-curia-vista/geschaeft?AffairId=20194324" TargetMode="External"/><Relationship Id="rId86" Type="http://schemas.openxmlformats.org/officeDocument/2006/relationships/hyperlink" Target="https://www.parlament.ch/fr/ratsbetrieb/suche-curia-vista/geschaeft?AffairId=20194330" TargetMode="External"/><Relationship Id="rId94" Type="http://schemas.openxmlformats.org/officeDocument/2006/relationships/hyperlink" Target="https://www.parlament.ch/de/ratsbetrieb/suche-curia-vista/geschaeft?AffairId=20194339" TargetMode="External"/><Relationship Id="rId99" Type="http://schemas.openxmlformats.org/officeDocument/2006/relationships/hyperlink" Target="https://www.parlament.ch/it/ratsbetrieb/suche-curia-vista/geschaeft?AffairId=20194341" TargetMode="External"/><Relationship Id="rId101" Type="http://schemas.openxmlformats.org/officeDocument/2006/relationships/hyperlink" Target="https://www.parlament.ch/fr/ratsbetrieb/suche-curia-vista/geschaeft?AffairId=20194345" TargetMode="External"/><Relationship Id="rId12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3076" TargetMode="External"/><Relationship Id="rId18" Type="http://schemas.openxmlformats.org/officeDocument/2006/relationships/hyperlink" Target="https://www.parlament.ch/it/ratsbetrieb/suche-curia-vista/geschaeft?AffairId=20213329" TargetMode="External"/><Relationship Id="rId39" Type="http://schemas.openxmlformats.org/officeDocument/2006/relationships/hyperlink" Target="https://www.parlament.ch/it/ratsbetrieb/suche-curia-vista/geschaeft?AffairId=20194145" TargetMode="External"/><Relationship Id="rId109" Type="http://schemas.openxmlformats.org/officeDocument/2006/relationships/hyperlink" Target="https://www.parlament.ch/de/ratsbetrieb/suche-curia-vista/geschaeft?AffairId=20194476" TargetMode="External"/><Relationship Id="rId34" Type="http://schemas.openxmlformats.org/officeDocument/2006/relationships/hyperlink" Target="https://www.parlament.ch/de/ratsbetrieb/suche-curia-vista/geschaeft?AffairId=20194106" TargetMode="External"/><Relationship Id="rId50" Type="http://schemas.openxmlformats.org/officeDocument/2006/relationships/hyperlink" Target="https://www.parlament.ch/fr/ratsbetrieb/suche-curia-vista/geschaeft?AffairId=20194217" TargetMode="External"/><Relationship Id="rId55" Type="http://schemas.openxmlformats.org/officeDocument/2006/relationships/hyperlink" Target="https://www.parlament.ch/de/ratsbetrieb/suche-curia-vista/geschaeft?AffairId=20194221" TargetMode="External"/><Relationship Id="rId76" Type="http://schemas.openxmlformats.org/officeDocument/2006/relationships/hyperlink" Target="https://www.parlament.ch/de/ratsbetrieb/suche-curia-vista/geschaeft?AffairId=20194321" TargetMode="External"/><Relationship Id="rId97" Type="http://schemas.openxmlformats.org/officeDocument/2006/relationships/hyperlink" Target="https://www.parlament.ch/de/ratsbetrieb/suche-curia-vista/geschaeft?AffairId=20194341" TargetMode="External"/><Relationship Id="rId104" Type="http://schemas.openxmlformats.org/officeDocument/2006/relationships/hyperlink" Target="https://www.parlament.ch/fr/ratsbetrieb/suche-curia-vista/geschaeft?AffairId=20194365" TargetMode="External"/><Relationship Id="rId120" Type="http://schemas.openxmlformats.org/officeDocument/2006/relationships/footer" Target="footer1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4264" TargetMode="External"/><Relationship Id="rId92" Type="http://schemas.openxmlformats.org/officeDocument/2006/relationships/hyperlink" Target="https://www.parlament.ch/fr/ratsbetrieb/suche-curia-vista/geschaeft?AffairId=2019433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194068" TargetMode="External"/><Relationship Id="rId24" Type="http://schemas.openxmlformats.org/officeDocument/2006/relationships/hyperlink" Target="https://www.parlament.ch/it/ratsbetrieb/suche-curia-vista/geschaeft?AffairId=20194050" TargetMode="External"/><Relationship Id="rId40" Type="http://schemas.openxmlformats.org/officeDocument/2006/relationships/hyperlink" Target="https://www.parlament.ch/de/ratsbetrieb/suche-curia-vista/geschaeft?AffairId=20194162" TargetMode="External"/><Relationship Id="rId45" Type="http://schemas.openxmlformats.org/officeDocument/2006/relationships/hyperlink" Target="https://www.parlament.ch/it/ratsbetrieb/suche-curia-vista/geschaeft?AffairId=20194163" TargetMode="External"/><Relationship Id="rId66" Type="http://schemas.openxmlformats.org/officeDocument/2006/relationships/hyperlink" Target="https://www.parlament.ch/it/ratsbetrieb/suche-curia-vista/geschaeft?AffairId=20194257" TargetMode="External"/><Relationship Id="rId87" Type="http://schemas.openxmlformats.org/officeDocument/2006/relationships/hyperlink" Target="https://www.parlament.ch/it/ratsbetrieb/suche-curia-vista/geschaeft?AffairId=20194330" TargetMode="External"/><Relationship Id="rId110" Type="http://schemas.openxmlformats.org/officeDocument/2006/relationships/hyperlink" Target="https://www.parlament.ch/fr/ratsbetrieb/suche-curia-vista/geschaeft?AffairId=20194476" TargetMode="External"/><Relationship Id="rId115" Type="http://schemas.openxmlformats.org/officeDocument/2006/relationships/hyperlink" Target="https://www.parlament.ch/de/ratsbetrieb/suche-curia-vista/geschaeft?AffairId=2019450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III N</Teildossier>
    <e-parl xmlns="673932bc-7c50-4e93-afe1-7c692330eb19">true</e-parl>
    <Autor xmlns="673932bc-7c50-4e93-afe1-7c692330eb19">Brügger Karin</Autor>
    <Dokumentendatum xmlns="673932bc-7c50-4e93-afe1-7c692330eb19">2021-08-23T22:00:00+00:00</Dokumentendatum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0DD9D5F1E1BE49B821FE6B9269847A" ma:contentTypeVersion="8" ma:contentTypeDescription="Create a new document." ma:contentTypeScope="" ma:versionID="afe93c5f6f83ac49f65668b02ec10bb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11C5-52FE-4ED7-B42F-FAA16AD0E649}">
  <ds:schemaRefs>
    <ds:schemaRef ds:uri="http://purl.org/dc/dcmitype/"/>
    <ds:schemaRef ds:uri="http://schemas.microsoft.com/office/infopath/2007/PartnerControls"/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2C027C-197D-48C9-B33A-37EBB8544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F1E0F-496F-4F6F-8309-C70674F57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B23EDB-8FA0-4CD7-AEDC-7A4CE43D604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C51EDB-EDEB-408A-96AF-1F589F67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3491</Words>
  <Characters>21995</Characters>
  <Application>Microsoft Office Word</Application>
  <DocSecurity>0</DocSecurity>
  <Lines>183</Lines>
  <Paragraphs>50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UVEK -- Interventions parlementaires relevant du DETEC -- Interventi parlamentari del DATEC</vt:lpstr>
      <vt:lpstr>Sessionsplanung - Vorlage Ergänzung zur Tagesordnung</vt:lpstr>
      <vt:lpstr>1</vt:lpstr>
    </vt:vector>
  </TitlesOfParts>
  <Company>Parlamentsdienste</Company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Brossard Mélanie PARL INT</cp:lastModifiedBy>
  <cp:revision>9</cp:revision>
  <cp:lastPrinted>2021-09-20T07:58:00Z</cp:lastPrinted>
  <dcterms:created xsi:type="dcterms:W3CDTF">2021-08-24T06:41:00Z</dcterms:created>
  <dcterms:modified xsi:type="dcterms:W3CDTF">2021-09-23T13:28:00Z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0x0101006F7700D8DF1953488F58F32AB4E7CBB30100230DD9D5F1E1BE49B821FE6B9269847A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