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20AD0" w14:textId="77777777" w:rsidR="00976B30" w:rsidRPr="003A77EA" w:rsidRDefault="00976B30" w:rsidP="003A77EA">
      <w:bookmarkStart w:id="0" w:name="1cb09af8-b8d2-47d5-bc7f-afe400b431b4"/>
      <w:bookmarkEnd w:id="0"/>
    </w:p>
    <w:p w14:paraId="7D85B590" w14:textId="77777777" w:rsidR="008871C8" w:rsidRDefault="001F4C54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Initiativen</w:t>
      </w:r>
      <w:proofErr w:type="spellEnd"/>
      <w:r>
        <w:rPr>
          <w:rFonts w:eastAsia="Arial" w:cs="Arial"/>
          <w:b/>
          <w:sz w:val="20"/>
        </w:rPr>
        <w:t xml:space="preserve"> 1. Phase</w:t>
      </w:r>
    </w:p>
    <w:p w14:paraId="0D934AA7" w14:textId="77777777" w:rsidR="008871C8" w:rsidRDefault="001F4C54">
      <w:r>
        <w:rPr>
          <w:rFonts w:eastAsia="Arial" w:cs="Arial"/>
          <w:b/>
          <w:sz w:val="20"/>
        </w:rPr>
        <w:t>Initiatives parlementaires 1re phase</w:t>
      </w:r>
    </w:p>
    <w:p w14:paraId="66A3AD86" w14:textId="77777777" w:rsidR="008871C8" w:rsidRDefault="001F4C54">
      <w:proofErr w:type="spellStart"/>
      <w:r>
        <w:rPr>
          <w:rFonts w:eastAsia="Arial" w:cs="Arial"/>
          <w:b/>
          <w:sz w:val="20"/>
        </w:rPr>
        <w:t>Iniziative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parlamentari</w:t>
      </w:r>
      <w:proofErr w:type="spellEnd"/>
      <w:r>
        <w:rPr>
          <w:rFonts w:eastAsia="Arial" w:cs="Arial"/>
          <w:b/>
          <w:sz w:val="20"/>
        </w:rPr>
        <w:t xml:space="preserve">, prima </w:t>
      </w:r>
      <w:proofErr w:type="spellStart"/>
      <w:r>
        <w:rPr>
          <w:rFonts w:eastAsia="Arial" w:cs="Arial"/>
          <w:b/>
          <w:sz w:val="20"/>
        </w:rPr>
        <w:t>fase</w:t>
      </w:r>
      <w:proofErr w:type="spellEnd"/>
      <w:r>
        <w:rPr>
          <w:rFonts w:eastAsia="Arial" w:cs="Arial"/>
          <w:b/>
          <w:sz w:val="20"/>
        </w:rPr>
        <w:t xml:space="preserve"> </w:t>
      </w:r>
    </w:p>
    <w:p w14:paraId="3044EB1C" w14:textId="77777777" w:rsidR="008871C8" w:rsidRDefault="008871C8"/>
    <w:p w14:paraId="5EFC6D8F" w14:textId="77777777" w:rsidR="001449E6" w:rsidRDefault="001449E6"/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91"/>
        <w:gridCol w:w="474"/>
        <w:gridCol w:w="447"/>
        <w:gridCol w:w="4374"/>
        <w:gridCol w:w="976"/>
        <w:gridCol w:w="1071"/>
        <w:gridCol w:w="1221"/>
        <w:gridCol w:w="1071"/>
        <w:gridCol w:w="448"/>
      </w:tblGrid>
      <w:tr w:rsidR="001449E6" w14:paraId="1B79454D" w14:textId="77777777" w:rsidTr="001449E6">
        <w:trPr>
          <w:cantSplit/>
        </w:trPr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1503DF5E" w14:textId="77777777" w:rsidR="001449E6" w:rsidRPr="001449E6" w:rsidRDefault="001449E6" w:rsidP="00DA7F15">
            <w:pPr>
              <w:rPr>
                <w:rFonts w:eastAsia="Arial" w:cs="Arial"/>
                <w:b/>
                <w:sz w:val="12"/>
              </w:rPr>
            </w:pPr>
            <w:r w:rsidRPr="001449E6">
              <w:rPr>
                <w:rFonts w:eastAsia="Arial" w:cs="Arial"/>
                <w:b/>
                <w:sz w:val="12"/>
              </w:rPr>
              <w:t>Nr.</w:t>
            </w:r>
          </w:p>
          <w:p w14:paraId="509CD983" w14:textId="77777777" w:rsidR="001449E6" w:rsidRPr="001449E6" w:rsidRDefault="001449E6" w:rsidP="00DA7F15">
            <w:pPr>
              <w:rPr>
                <w:rFonts w:eastAsia="Arial" w:cs="Arial"/>
                <w:b/>
                <w:sz w:val="12"/>
              </w:rPr>
            </w:pPr>
            <w:r w:rsidRPr="001449E6">
              <w:rPr>
                <w:rFonts w:eastAsia="Arial" w:cs="Arial"/>
                <w:b/>
                <w:sz w:val="12"/>
              </w:rPr>
              <w:t>No.</w:t>
            </w:r>
          </w:p>
          <w:p w14:paraId="2C51518E" w14:textId="77777777" w:rsidR="001449E6" w:rsidRPr="001449E6" w:rsidRDefault="001449E6" w:rsidP="00DA7F15">
            <w:pPr>
              <w:rPr>
                <w:rFonts w:eastAsia="Arial" w:cs="Arial"/>
                <w:b/>
                <w:sz w:val="12"/>
              </w:rPr>
            </w:pPr>
            <w:r w:rsidRPr="001449E6"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46B27BB1" w14:textId="77777777" w:rsidR="001449E6" w:rsidRPr="001449E6" w:rsidRDefault="001449E6" w:rsidP="00DA7F15">
            <w:pPr>
              <w:rPr>
                <w:rFonts w:eastAsia="Arial" w:cs="Arial"/>
                <w:b/>
                <w:sz w:val="12"/>
              </w:rPr>
            </w:pPr>
            <w:r w:rsidRPr="001449E6">
              <w:rPr>
                <w:rFonts w:eastAsia="Arial" w:cs="Arial"/>
                <w:b/>
                <w:sz w:val="12"/>
              </w:rPr>
              <w:t>Rat</w:t>
            </w:r>
          </w:p>
          <w:p w14:paraId="48401D9A" w14:textId="77777777" w:rsidR="001449E6" w:rsidRPr="001449E6" w:rsidRDefault="001449E6" w:rsidP="00DA7F15">
            <w:pPr>
              <w:rPr>
                <w:rFonts w:eastAsia="Arial" w:cs="Arial"/>
                <w:b/>
                <w:sz w:val="12"/>
              </w:rPr>
            </w:pPr>
            <w:r w:rsidRPr="001449E6">
              <w:rPr>
                <w:rFonts w:eastAsia="Arial" w:cs="Arial"/>
                <w:b/>
                <w:sz w:val="12"/>
              </w:rPr>
              <w:t>Cons.</w:t>
            </w:r>
          </w:p>
          <w:p w14:paraId="5EBC70CA" w14:textId="77777777" w:rsidR="001449E6" w:rsidRPr="001449E6" w:rsidRDefault="001449E6" w:rsidP="00DA7F15">
            <w:pPr>
              <w:rPr>
                <w:rFonts w:eastAsia="Arial" w:cs="Arial"/>
                <w:b/>
                <w:sz w:val="12"/>
              </w:rPr>
            </w:pPr>
            <w:r w:rsidRPr="001449E6"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7E3FD909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proofErr w:type="spellStart"/>
            <w:r w:rsidRPr="001449E6">
              <w:rPr>
                <w:rFonts w:eastAsia="Arial" w:cs="Arial"/>
                <w:b/>
                <w:sz w:val="12"/>
              </w:rPr>
              <w:t>Curia</w:t>
            </w:r>
            <w:proofErr w:type="spellEnd"/>
          </w:p>
          <w:p w14:paraId="72761E6F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r w:rsidRPr="001449E6"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387A8561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proofErr w:type="spellStart"/>
            <w:r w:rsidRPr="001449E6">
              <w:rPr>
                <w:rFonts w:eastAsia="Arial" w:cs="Arial"/>
                <w:b/>
                <w:sz w:val="12"/>
              </w:rPr>
              <w:t>Geschäftstitel</w:t>
            </w:r>
            <w:proofErr w:type="spellEnd"/>
          </w:p>
          <w:p w14:paraId="4F5BBA39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proofErr w:type="spellStart"/>
            <w:r w:rsidRPr="001449E6">
              <w:rPr>
                <w:rFonts w:eastAsia="Arial" w:cs="Arial"/>
                <w:b/>
                <w:sz w:val="12"/>
              </w:rPr>
              <w:t>Titre</w:t>
            </w:r>
            <w:proofErr w:type="spellEnd"/>
            <w:r w:rsidRPr="001449E6">
              <w:rPr>
                <w:rFonts w:eastAsia="Arial" w:cs="Arial"/>
                <w:b/>
                <w:sz w:val="12"/>
              </w:rPr>
              <w:t xml:space="preserve"> de l'</w:t>
            </w:r>
            <w:proofErr w:type="spellStart"/>
            <w:r w:rsidRPr="001449E6">
              <w:rPr>
                <w:rFonts w:eastAsia="Arial" w:cs="Arial"/>
                <w:b/>
                <w:sz w:val="12"/>
              </w:rPr>
              <w:t>objet</w:t>
            </w:r>
            <w:proofErr w:type="spellEnd"/>
          </w:p>
          <w:p w14:paraId="0D03EA56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r w:rsidRPr="001449E6">
              <w:rPr>
                <w:rFonts w:eastAsia="Arial" w:cs="Arial"/>
                <w:b/>
                <w:sz w:val="12"/>
              </w:rPr>
              <w:t>Titolo dell'oggetto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6A419F9C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proofErr w:type="spellStart"/>
            <w:r w:rsidRPr="001449E6">
              <w:rPr>
                <w:rFonts w:eastAsia="Arial" w:cs="Arial"/>
                <w:b/>
                <w:sz w:val="12"/>
              </w:rPr>
              <w:t>Komm</w:t>
            </w:r>
            <w:proofErr w:type="spellEnd"/>
            <w:r w:rsidRPr="001449E6">
              <w:rPr>
                <w:rFonts w:eastAsia="Arial" w:cs="Arial"/>
                <w:b/>
                <w:sz w:val="12"/>
              </w:rPr>
              <w:t>.</w:t>
            </w:r>
          </w:p>
          <w:p w14:paraId="7295109D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proofErr w:type="spellStart"/>
            <w:r w:rsidRPr="001449E6">
              <w:rPr>
                <w:rFonts w:eastAsia="Arial" w:cs="Arial"/>
                <w:b/>
                <w:sz w:val="12"/>
              </w:rPr>
              <w:t>Comm</w:t>
            </w:r>
            <w:proofErr w:type="spellEnd"/>
            <w:r w:rsidRPr="001449E6">
              <w:rPr>
                <w:rFonts w:eastAsia="Arial" w:cs="Arial"/>
                <w:b/>
                <w:sz w:val="12"/>
              </w:rPr>
              <w:t>.</w:t>
            </w:r>
          </w:p>
          <w:p w14:paraId="5BAB5B48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proofErr w:type="spellStart"/>
            <w:r w:rsidRPr="001449E6">
              <w:rPr>
                <w:rFonts w:eastAsia="Arial" w:cs="Arial"/>
                <w:b/>
                <w:sz w:val="12"/>
              </w:rPr>
              <w:t>Comm</w:t>
            </w:r>
            <w:proofErr w:type="spellEnd"/>
            <w:r w:rsidRPr="001449E6">
              <w:rPr>
                <w:rFonts w:eastAsia="Arial" w:cs="Arial"/>
                <w:b/>
                <w:sz w:val="12"/>
              </w:rPr>
              <w:t>.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57D9C9EC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proofErr w:type="spellStart"/>
            <w:r w:rsidRPr="001449E6">
              <w:rPr>
                <w:rFonts w:eastAsia="Arial" w:cs="Arial"/>
                <w:b/>
                <w:sz w:val="12"/>
              </w:rPr>
              <w:t>Sprecher</w:t>
            </w:r>
            <w:proofErr w:type="spellEnd"/>
            <w:r w:rsidRPr="001449E6">
              <w:rPr>
                <w:rFonts w:eastAsia="Arial" w:cs="Arial"/>
                <w:b/>
                <w:sz w:val="12"/>
              </w:rPr>
              <w:t>/in</w:t>
            </w:r>
          </w:p>
          <w:p w14:paraId="59244ABC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r w:rsidRPr="001449E6">
              <w:rPr>
                <w:rFonts w:eastAsia="Arial" w:cs="Arial"/>
                <w:b/>
                <w:sz w:val="12"/>
              </w:rPr>
              <w:t>Porte-parole</w:t>
            </w:r>
          </w:p>
          <w:p w14:paraId="6053ECA1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r w:rsidRPr="001449E6">
              <w:rPr>
                <w:rFonts w:eastAsia="Arial" w:cs="Arial"/>
                <w:b/>
                <w:sz w:val="12"/>
              </w:rPr>
              <w:t>Portavoce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0EA9D0A1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proofErr w:type="spellStart"/>
            <w:r w:rsidRPr="001449E6">
              <w:rPr>
                <w:rFonts w:eastAsia="Arial" w:cs="Arial"/>
                <w:b/>
                <w:sz w:val="12"/>
              </w:rPr>
              <w:t>Berichterstatter</w:t>
            </w:r>
            <w:proofErr w:type="spellEnd"/>
          </w:p>
          <w:p w14:paraId="23B578CC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r w:rsidRPr="001449E6">
              <w:rPr>
                <w:rFonts w:eastAsia="Arial" w:cs="Arial"/>
                <w:b/>
                <w:sz w:val="12"/>
              </w:rPr>
              <w:t>Rapporteurs</w:t>
            </w:r>
          </w:p>
          <w:p w14:paraId="03E7E874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proofErr w:type="spellStart"/>
            <w:r w:rsidRPr="001449E6">
              <w:rPr>
                <w:rFonts w:eastAsia="Arial" w:cs="Arial"/>
                <w:b/>
                <w:sz w:val="12"/>
              </w:rPr>
              <w:t>Relatori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72CD6269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r w:rsidRPr="001449E6">
              <w:rPr>
                <w:rFonts w:eastAsia="Arial" w:cs="Arial"/>
                <w:b/>
                <w:sz w:val="12"/>
              </w:rPr>
              <w:t>Sprecher/in Minderheit</w:t>
            </w:r>
          </w:p>
          <w:p w14:paraId="4C453FCB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r w:rsidRPr="001449E6">
              <w:rPr>
                <w:rFonts w:eastAsia="Arial" w:cs="Arial"/>
                <w:b/>
                <w:sz w:val="12"/>
              </w:rPr>
              <w:t xml:space="preserve">Porte-parole </w:t>
            </w:r>
            <w:proofErr w:type="spellStart"/>
            <w:r w:rsidRPr="001449E6">
              <w:rPr>
                <w:rFonts w:eastAsia="Arial" w:cs="Arial"/>
                <w:b/>
                <w:sz w:val="12"/>
              </w:rPr>
              <w:t>minorité</w:t>
            </w:r>
            <w:proofErr w:type="spellEnd"/>
          </w:p>
          <w:p w14:paraId="17AD2D15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proofErr w:type="spellStart"/>
            <w:r w:rsidRPr="001449E6">
              <w:rPr>
                <w:rFonts w:eastAsia="Arial" w:cs="Arial"/>
                <w:b/>
                <w:sz w:val="12"/>
              </w:rPr>
              <w:t>Portavoce</w:t>
            </w:r>
            <w:proofErr w:type="spellEnd"/>
            <w:r w:rsidRPr="001449E6"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 w:rsidRPr="001449E6">
              <w:rPr>
                <w:rFonts w:eastAsia="Arial" w:cs="Arial"/>
                <w:b/>
                <w:sz w:val="12"/>
              </w:rPr>
              <w:t>minoranza</w:t>
            </w:r>
            <w:proofErr w:type="spellEnd"/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69A74C67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r w:rsidRPr="001449E6">
              <w:rPr>
                <w:rFonts w:eastAsia="Arial" w:cs="Arial"/>
                <w:b/>
                <w:sz w:val="12"/>
              </w:rPr>
              <w:t>Kat.</w:t>
            </w:r>
          </w:p>
          <w:p w14:paraId="522AFA16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r w:rsidRPr="001449E6">
              <w:rPr>
                <w:rFonts w:eastAsia="Arial" w:cs="Arial"/>
                <w:b/>
                <w:sz w:val="12"/>
              </w:rPr>
              <w:t>Cat.</w:t>
            </w:r>
          </w:p>
          <w:p w14:paraId="55C902B2" w14:textId="77777777" w:rsidR="001449E6" w:rsidRPr="001449E6" w:rsidRDefault="001449E6" w:rsidP="001449E6">
            <w:pPr>
              <w:rPr>
                <w:rFonts w:eastAsia="Arial" w:cs="Arial"/>
                <w:b/>
                <w:sz w:val="12"/>
              </w:rPr>
            </w:pPr>
            <w:r w:rsidRPr="001449E6">
              <w:rPr>
                <w:rFonts w:eastAsia="Arial" w:cs="Arial"/>
                <w:b/>
                <w:sz w:val="12"/>
              </w:rPr>
              <w:t>Cat.</w:t>
            </w:r>
          </w:p>
        </w:tc>
      </w:tr>
      <w:tr w:rsidR="001449E6" w14:paraId="4BCF383B" w14:textId="77777777" w:rsidTr="001449E6">
        <w:trPr>
          <w:cantSplit/>
        </w:trPr>
        <w:tc>
          <w:tcPr>
            <w:tcW w:w="691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16645E43" w14:textId="77777777" w:rsidR="001449E6" w:rsidRDefault="001449E6" w:rsidP="001449E6">
            <w:r>
              <w:rPr>
                <w:rFonts w:eastAsia="Arial" w:cs="Arial"/>
                <w:b/>
              </w:rPr>
              <w:t>22.465</w:t>
            </w:r>
          </w:p>
        </w:tc>
        <w:tc>
          <w:tcPr>
            <w:tcW w:w="474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2380E82A" w14:textId="77777777" w:rsidR="001449E6" w:rsidRDefault="001449E6" w:rsidP="001449E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447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23575319" w14:textId="77777777" w:rsidR="001449E6" w:rsidRDefault="001449E6" w:rsidP="001449E6">
            <w:pPr>
              <w:pStyle w:val="Normal0"/>
            </w:pPr>
            <w:hyperlink r:id="rId13" w:history="1">
              <w:r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81BB6A1" w14:textId="77777777" w:rsidR="001449E6" w:rsidRDefault="001449E6" w:rsidP="001449E6">
            <w:pPr>
              <w:pStyle w:val="Normal1"/>
            </w:pPr>
            <w:hyperlink r:id="rId14" w:history="1">
              <w:r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A3A2272" w14:textId="77777777" w:rsidR="001449E6" w:rsidRDefault="001449E6" w:rsidP="001449E6">
            <w:pPr>
              <w:pStyle w:val="Normal2"/>
            </w:pPr>
            <w:hyperlink r:id="rId15" w:history="1">
              <w:r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4374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73482EBA" w14:textId="77777777" w:rsidR="001449E6" w:rsidRPr="001449E6" w:rsidRDefault="001449E6" w:rsidP="001449E6">
            <w:pPr>
              <w:rPr>
                <w:lang w:val="de-CH"/>
              </w:rPr>
            </w:pPr>
            <w:proofErr w:type="spellStart"/>
            <w:r w:rsidRPr="001449E6">
              <w:rPr>
                <w:rFonts w:eastAsia="Arial" w:cs="Arial"/>
                <w:lang w:val="de-CH"/>
              </w:rPr>
              <w:t>Pa</w:t>
            </w:r>
            <w:proofErr w:type="spellEnd"/>
            <w:r w:rsidRPr="001449E6">
              <w:rPr>
                <w:rFonts w:eastAsia="Arial" w:cs="Arial"/>
                <w:lang w:val="de-CH"/>
              </w:rPr>
              <w:t xml:space="preserve">. </w:t>
            </w:r>
            <w:proofErr w:type="spellStart"/>
            <w:r w:rsidRPr="001449E6">
              <w:rPr>
                <w:rFonts w:eastAsia="Arial" w:cs="Arial"/>
                <w:lang w:val="de-CH"/>
              </w:rPr>
              <w:t>Iv</w:t>
            </w:r>
            <w:proofErr w:type="spellEnd"/>
            <w:r w:rsidRPr="001449E6">
              <w:rPr>
                <w:rFonts w:eastAsia="Arial" w:cs="Arial"/>
                <w:lang w:val="de-CH"/>
              </w:rPr>
              <w:t>. Burgherr. Rahmenbedingungen für die Entwicklung beim Bundespersonal</w:t>
            </w:r>
          </w:p>
          <w:p w14:paraId="33358211" w14:textId="77777777" w:rsidR="001449E6" w:rsidRDefault="001449E6" w:rsidP="001449E6">
            <w:r>
              <w:rPr>
                <w:rFonts w:eastAsia="Arial" w:cs="Arial"/>
              </w:rPr>
              <w:t xml:space="preserve">Iv. </w:t>
            </w:r>
            <w:proofErr w:type="spellStart"/>
            <w:proofErr w:type="gramStart"/>
            <w:r>
              <w:rPr>
                <w:rFonts w:eastAsia="Arial" w:cs="Arial"/>
              </w:rPr>
              <w:t>pa</w:t>
            </w:r>
            <w:proofErr w:type="spellEnd"/>
            <w:proofErr w:type="gramEnd"/>
            <w:r>
              <w:rPr>
                <w:rFonts w:eastAsia="Arial" w:cs="Arial"/>
              </w:rPr>
              <w:t>. Burgherr. Encadrer l'évolution du personnel de la Confédération</w:t>
            </w:r>
          </w:p>
          <w:p w14:paraId="26CBA09E" w14:textId="77777777" w:rsidR="001449E6" w:rsidRPr="001449E6" w:rsidRDefault="001449E6" w:rsidP="001449E6">
            <w:pPr>
              <w:rPr>
                <w:lang w:val="it-IT"/>
              </w:rPr>
            </w:pPr>
            <w:proofErr w:type="spellStart"/>
            <w:r w:rsidRPr="001449E6">
              <w:rPr>
                <w:rFonts w:eastAsia="Arial" w:cs="Arial"/>
                <w:lang w:val="it-IT"/>
              </w:rPr>
              <w:t>Iv</w:t>
            </w:r>
            <w:proofErr w:type="spellEnd"/>
            <w:r w:rsidRPr="001449E6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1449E6">
              <w:rPr>
                <w:rFonts w:eastAsia="Arial" w:cs="Arial"/>
                <w:lang w:val="it-IT"/>
              </w:rPr>
              <w:t>pa</w:t>
            </w:r>
            <w:proofErr w:type="spellEnd"/>
            <w:r w:rsidRPr="001449E6">
              <w:rPr>
                <w:rFonts w:eastAsia="Arial" w:cs="Arial"/>
                <w:lang w:val="it-IT"/>
              </w:rPr>
              <w:t>. Burgherr. Condizioni generali per lo sviluppo del personale federale</w:t>
            </w:r>
          </w:p>
        </w:tc>
        <w:tc>
          <w:tcPr>
            <w:tcW w:w="976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6CDD8A17" w14:textId="77777777" w:rsidR="001449E6" w:rsidRDefault="001449E6" w:rsidP="001449E6">
            <w:r>
              <w:rPr>
                <w:rFonts w:eastAsia="Arial" w:cs="Arial"/>
              </w:rPr>
              <w:t>FK</w:t>
            </w:r>
          </w:p>
          <w:p w14:paraId="0A077325" w14:textId="77777777" w:rsidR="001449E6" w:rsidRDefault="001449E6" w:rsidP="001449E6">
            <w:proofErr w:type="spellStart"/>
            <w:r>
              <w:rPr>
                <w:rFonts w:eastAsia="Arial" w:cs="Arial"/>
              </w:rPr>
              <w:t>CdF</w:t>
            </w:r>
            <w:proofErr w:type="spellEnd"/>
          </w:p>
          <w:p w14:paraId="5AD8FD60" w14:textId="77777777" w:rsidR="001449E6" w:rsidRDefault="001449E6" w:rsidP="001449E6">
            <w:proofErr w:type="spellStart"/>
            <w:r>
              <w:rPr>
                <w:rFonts w:eastAsia="Arial" w:cs="Arial"/>
              </w:rPr>
              <w:t>CdF</w:t>
            </w:r>
            <w:proofErr w:type="spellEnd"/>
          </w:p>
        </w:tc>
        <w:tc>
          <w:tcPr>
            <w:tcW w:w="1071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517D28C9" w14:textId="77777777" w:rsidR="001449E6" w:rsidRDefault="001449E6" w:rsidP="001449E6"/>
        </w:tc>
        <w:tc>
          <w:tcPr>
            <w:tcW w:w="1221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499289DA" w14:textId="77777777" w:rsidR="001449E6" w:rsidRDefault="001449E6" w:rsidP="001449E6">
            <w:proofErr w:type="spellStart"/>
            <w:r>
              <w:rPr>
                <w:rFonts w:eastAsia="Arial" w:cs="Arial"/>
              </w:rPr>
              <w:t>Gschwind</w:t>
            </w:r>
            <w:proofErr w:type="spellEnd"/>
            <w:r>
              <w:rPr>
                <w:rFonts w:eastAsia="Arial" w:cs="Arial"/>
              </w:rPr>
              <w:t>, Wyss</w:t>
            </w:r>
          </w:p>
        </w:tc>
        <w:tc>
          <w:tcPr>
            <w:tcW w:w="1071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15BF3A14" w14:textId="77777777" w:rsidR="001449E6" w:rsidRDefault="001449E6" w:rsidP="001449E6">
            <w:r>
              <w:rPr>
                <w:rFonts w:eastAsia="Arial" w:cs="Arial"/>
              </w:rPr>
              <w:t>Strupler</w:t>
            </w:r>
          </w:p>
        </w:tc>
        <w:tc>
          <w:tcPr>
            <w:tcW w:w="448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6423C87C" w14:textId="77777777" w:rsidR="001449E6" w:rsidRDefault="001449E6" w:rsidP="001449E6">
            <w:r>
              <w:rPr>
                <w:rFonts w:eastAsia="Arial" w:cs="Arial"/>
              </w:rPr>
              <w:t>IV</w:t>
            </w:r>
          </w:p>
        </w:tc>
      </w:tr>
      <w:tr w:rsidR="001449E6" w14:paraId="39B11E82" w14:textId="77777777" w:rsidTr="001449E6">
        <w:trPr>
          <w:cantSplit/>
        </w:trPr>
        <w:tc>
          <w:tcPr>
            <w:tcW w:w="691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67ACFA96" w14:textId="77777777" w:rsidR="001449E6" w:rsidRDefault="001449E6" w:rsidP="001449E6">
            <w:r>
              <w:rPr>
                <w:rFonts w:eastAsia="Arial" w:cs="Arial"/>
                <w:b/>
              </w:rPr>
              <w:t>22.480</w:t>
            </w:r>
          </w:p>
        </w:tc>
        <w:tc>
          <w:tcPr>
            <w:tcW w:w="474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72162D72" w14:textId="77777777" w:rsidR="001449E6" w:rsidRDefault="001449E6" w:rsidP="001449E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447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57DA7043" w14:textId="77777777" w:rsidR="001449E6" w:rsidRDefault="001449E6" w:rsidP="001449E6">
            <w:pPr>
              <w:pStyle w:val="Normal3"/>
            </w:pPr>
            <w:hyperlink r:id="rId16" w:history="1">
              <w:r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211B24C" w14:textId="77777777" w:rsidR="001449E6" w:rsidRDefault="001449E6" w:rsidP="001449E6">
            <w:pPr>
              <w:pStyle w:val="Normal4"/>
            </w:pPr>
            <w:hyperlink r:id="rId17" w:history="1">
              <w:r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BF20665" w14:textId="77777777" w:rsidR="001449E6" w:rsidRDefault="001449E6" w:rsidP="001449E6">
            <w:pPr>
              <w:pStyle w:val="Normal5"/>
            </w:pPr>
            <w:hyperlink r:id="rId18" w:history="1">
              <w:r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4374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7EEC2309" w14:textId="77777777" w:rsidR="001449E6" w:rsidRPr="001449E6" w:rsidRDefault="001449E6" w:rsidP="001449E6">
            <w:pPr>
              <w:rPr>
                <w:lang w:val="de-CH"/>
              </w:rPr>
            </w:pPr>
            <w:proofErr w:type="spellStart"/>
            <w:r w:rsidRPr="001449E6">
              <w:rPr>
                <w:rFonts w:eastAsia="Arial" w:cs="Arial"/>
                <w:lang w:val="de-CH"/>
              </w:rPr>
              <w:t>Pa</w:t>
            </w:r>
            <w:proofErr w:type="spellEnd"/>
            <w:r w:rsidRPr="001449E6">
              <w:rPr>
                <w:rFonts w:eastAsia="Arial" w:cs="Arial"/>
                <w:lang w:val="de-CH"/>
              </w:rPr>
              <w:t xml:space="preserve">. </w:t>
            </w:r>
            <w:proofErr w:type="spellStart"/>
            <w:r w:rsidRPr="001449E6">
              <w:rPr>
                <w:rFonts w:eastAsia="Arial" w:cs="Arial"/>
                <w:lang w:val="de-CH"/>
              </w:rPr>
              <w:t>Iv</w:t>
            </w:r>
            <w:proofErr w:type="spellEnd"/>
            <w:r w:rsidRPr="001449E6">
              <w:rPr>
                <w:rFonts w:eastAsia="Arial" w:cs="Arial"/>
                <w:lang w:val="de-CH"/>
              </w:rPr>
              <w:t xml:space="preserve">. </w:t>
            </w:r>
            <w:proofErr w:type="spellStart"/>
            <w:r w:rsidRPr="001449E6">
              <w:rPr>
                <w:rFonts w:eastAsia="Arial" w:cs="Arial"/>
                <w:lang w:val="de-CH"/>
              </w:rPr>
              <w:t>Jauslin</w:t>
            </w:r>
            <w:proofErr w:type="spellEnd"/>
            <w:r w:rsidRPr="001449E6">
              <w:rPr>
                <w:rFonts w:eastAsia="Arial" w:cs="Arial"/>
                <w:lang w:val="de-CH"/>
              </w:rPr>
              <w:t xml:space="preserve">. </w:t>
            </w:r>
            <w:proofErr w:type="spellStart"/>
            <w:r w:rsidRPr="001449E6">
              <w:rPr>
                <w:rFonts w:eastAsia="Arial" w:cs="Arial"/>
                <w:lang w:val="de-CH"/>
              </w:rPr>
              <w:t>Guillotineklausel</w:t>
            </w:r>
            <w:proofErr w:type="spellEnd"/>
            <w:r w:rsidRPr="001449E6">
              <w:rPr>
                <w:rFonts w:eastAsia="Arial" w:cs="Arial"/>
                <w:lang w:val="de-CH"/>
              </w:rPr>
              <w:t xml:space="preserve"> bei hängigen Vorstössen verhindern!</w:t>
            </w:r>
          </w:p>
          <w:p w14:paraId="44090203" w14:textId="77777777" w:rsidR="001449E6" w:rsidRDefault="001449E6" w:rsidP="001449E6">
            <w:r>
              <w:rPr>
                <w:rFonts w:eastAsia="Arial" w:cs="Arial"/>
              </w:rPr>
              <w:t xml:space="preserve">Iv. </w:t>
            </w:r>
            <w:proofErr w:type="spellStart"/>
            <w:proofErr w:type="gramStart"/>
            <w:r>
              <w:rPr>
                <w:rFonts w:eastAsia="Arial" w:cs="Arial"/>
              </w:rPr>
              <w:t>pa</w:t>
            </w:r>
            <w:proofErr w:type="spellEnd"/>
            <w:proofErr w:type="gram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Jauslin</w:t>
            </w:r>
            <w:proofErr w:type="spellEnd"/>
            <w:r>
              <w:rPr>
                <w:rFonts w:eastAsia="Arial" w:cs="Arial"/>
              </w:rPr>
              <w:t>. Interventions parlementaires pendantes. Prévenir l'application de la "clause guillotine"!</w:t>
            </w:r>
          </w:p>
          <w:p w14:paraId="289EFCBE" w14:textId="77777777" w:rsidR="001449E6" w:rsidRPr="001449E6" w:rsidRDefault="001449E6" w:rsidP="001449E6">
            <w:pPr>
              <w:rPr>
                <w:lang w:val="it-IT"/>
              </w:rPr>
            </w:pPr>
            <w:proofErr w:type="spellStart"/>
            <w:r w:rsidRPr="001449E6">
              <w:rPr>
                <w:rFonts w:eastAsia="Arial" w:cs="Arial"/>
                <w:lang w:val="it-IT"/>
              </w:rPr>
              <w:t>Iv</w:t>
            </w:r>
            <w:proofErr w:type="spellEnd"/>
            <w:r w:rsidRPr="001449E6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1449E6">
              <w:rPr>
                <w:rFonts w:eastAsia="Arial" w:cs="Arial"/>
                <w:lang w:val="it-IT"/>
              </w:rPr>
              <w:t>pa</w:t>
            </w:r>
            <w:proofErr w:type="spellEnd"/>
            <w:r w:rsidRPr="001449E6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1449E6">
              <w:rPr>
                <w:rFonts w:eastAsia="Arial" w:cs="Arial"/>
                <w:lang w:val="it-IT"/>
              </w:rPr>
              <w:t>Jauslin</w:t>
            </w:r>
            <w:proofErr w:type="spellEnd"/>
            <w:r w:rsidRPr="001449E6">
              <w:rPr>
                <w:rFonts w:eastAsia="Arial" w:cs="Arial"/>
                <w:lang w:val="it-IT"/>
              </w:rPr>
              <w:t>. Interventi parlamentari pendenti. Impedire la cosiddetta "clausola ghigliottina"!</w:t>
            </w:r>
          </w:p>
        </w:tc>
        <w:tc>
          <w:tcPr>
            <w:tcW w:w="976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7652BBB8" w14:textId="77777777" w:rsidR="001449E6" w:rsidRDefault="001449E6" w:rsidP="001449E6">
            <w:r>
              <w:rPr>
                <w:rFonts w:eastAsia="Arial" w:cs="Arial"/>
              </w:rPr>
              <w:t>SPK</w:t>
            </w:r>
          </w:p>
          <w:p w14:paraId="5EF8729C" w14:textId="77777777" w:rsidR="001449E6" w:rsidRDefault="001449E6" w:rsidP="001449E6">
            <w:r>
              <w:rPr>
                <w:rFonts w:eastAsia="Arial" w:cs="Arial"/>
              </w:rPr>
              <w:t>CIP</w:t>
            </w:r>
          </w:p>
          <w:p w14:paraId="7C51B2BE" w14:textId="77777777" w:rsidR="001449E6" w:rsidRDefault="001449E6" w:rsidP="001449E6">
            <w:r>
              <w:rPr>
                <w:rFonts w:eastAsia="Arial" w:cs="Arial"/>
              </w:rPr>
              <w:t>CIP</w:t>
            </w:r>
          </w:p>
        </w:tc>
        <w:tc>
          <w:tcPr>
            <w:tcW w:w="1071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65432EB0" w14:textId="77777777" w:rsidR="001449E6" w:rsidRDefault="001449E6" w:rsidP="001449E6"/>
        </w:tc>
        <w:tc>
          <w:tcPr>
            <w:tcW w:w="1221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5D6305F4" w14:textId="77777777" w:rsidR="001449E6" w:rsidRDefault="001449E6" w:rsidP="001449E6"/>
        </w:tc>
        <w:tc>
          <w:tcPr>
            <w:tcW w:w="1071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3AE850AF" w14:textId="77777777" w:rsidR="001449E6" w:rsidRDefault="001449E6" w:rsidP="001449E6"/>
        </w:tc>
        <w:tc>
          <w:tcPr>
            <w:tcW w:w="448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7D6C2AC1" w14:textId="77777777" w:rsidR="001449E6" w:rsidRDefault="001449E6" w:rsidP="001449E6">
            <w:r>
              <w:rPr>
                <w:rFonts w:eastAsia="Arial" w:cs="Arial"/>
              </w:rPr>
              <w:t>V</w:t>
            </w:r>
          </w:p>
        </w:tc>
      </w:tr>
      <w:tr w:rsidR="001449E6" w:rsidRPr="001449E6" w14:paraId="5319149D" w14:textId="77777777" w:rsidTr="001449E6">
        <w:trPr>
          <w:cantSplit/>
        </w:trPr>
        <w:tc>
          <w:tcPr>
            <w:tcW w:w="691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5AEC2662" w14:textId="77777777" w:rsidR="001449E6" w:rsidRDefault="001449E6" w:rsidP="001449E6">
            <w:r>
              <w:rPr>
                <w:rFonts w:eastAsia="Arial" w:cs="Arial"/>
                <w:b/>
              </w:rPr>
              <w:t>23.401</w:t>
            </w:r>
          </w:p>
        </w:tc>
        <w:tc>
          <w:tcPr>
            <w:tcW w:w="474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3089708B" w14:textId="77777777" w:rsidR="001449E6" w:rsidRDefault="001449E6" w:rsidP="001449E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447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23AF5067" w14:textId="77777777" w:rsidR="001449E6" w:rsidRDefault="001449E6" w:rsidP="001449E6">
            <w:pPr>
              <w:pStyle w:val="Normal6"/>
            </w:pPr>
            <w:hyperlink r:id="rId19" w:history="1">
              <w:r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7AC32F9" w14:textId="77777777" w:rsidR="001449E6" w:rsidRDefault="001449E6" w:rsidP="001449E6">
            <w:pPr>
              <w:pStyle w:val="Normal7"/>
            </w:pPr>
            <w:hyperlink r:id="rId20" w:history="1">
              <w:r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42C2CBC" w14:textId="77777777" w:rsidR="001449E6" w:rsidRDefault="001449E6" w:rsidP="001449E6">
            <w:pPr>
              <w:pStyle w:val="Normal8"/>
            </w:pPr>
            <w:hyperlink r:id="rId21" w:history="1">
              <w:r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4374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6DBCFD90" w14:textId="77777777" w:rsidR="001449E6" w:rsidRPr="001449E6" w:rsidRDefault="001449E6" w:rsidP="001449E6">
            <w:pPr>
              <w:rPr>
                <w:lang w:val="de-CH"/>
              </w:rPr>
            </w:pPr>
            <w:proofErr w:type="spellStart"/>
            <w:r w:rsidRPr="001449E6">
              <w:rPr>
                <w:rFonts w:eastAsia="Arial" w:cs="Arial"/>
                <w:lang w:val="de-CH"/>
              </w:rPr>
              <w:t>Pa</w:t>
            </w:r>
            <w:proofErr w:type="spellEnd"/>
            <w:r w:rsidRPr="001449E6">
              <w:rPr>
                <w:rFonts w:eastAsia="Arial" w:cs="Arial"/>
                <w:lang w:val="de-CH"/>
              </w:rPr>
              <w:t xml:space="preserve">. </w:t>
            </w:r>
            <w:proofErr w:type="spellStart"/>
            <w:r w:rsidRPr="001449E6">
              <w:rPr>
                <w:rFonts w:eastAsia="Arial" w:cs="Arial"/>
                <w:lang w:val="de-CH"/>
              </w:rPr>
              <w:t>Iv</w:t>
            </w:r>
            <w:proofErr w:type="spellEnd"/>
            <w:r w:rsidRPr="001449E6">
              <w:rPr>
                <w:rFonts w:eastAsia="Arial" w:cs="Arial"/>
                <w:lang w:val="de-CH"/>
              </w:rPr>
              <w:t xml:space="preserve">. </w:t>
            </w:r>
            <w:proofErr w:type="spellStart"/>
            <w:r w:rsidRPr="001449E6">
              <w:rPr>
                <w:rFonts w:eastAsia="Arial" w:cs="Arial"/>
                <w:lang w:val="de-CH"/>
              </w:rPr>
              <w:t>SiK</w:t>
            </w:r>
            <w:proofErr w:type="spellEnd"/>
            <w:r w:rsidRPr="001449E6">
              <w:rPr>
                <w:rFonts w:eastAsia="Arial" w:cs="Arial"/>
                <w:lang w:val="de-CH"/>
              </w:rPr>
              <w:t>-NR. Änderung des Kriegsmaterialgesetzes - Lex Ukraine</w:t>
            </w:r>
          </w:p>
          <w:p w14:paraId="06587248" w14:textId="77777777" w:rsidR="001449E6" w:rsidRDefault="001449E6" w:rsidP="001449E6">
            <w:r>
              <w:rPr>
                <w:rFonts w:eastAsia="Arial" w:cs="Arial"/>
              </w:rPr>
              <w:t xml:space="preserve">Iv. </w:t>
            </w:r>
            <w:proofErr w:type="spellStart"/>
            <w:proofErr w:type="gramStart"/>
            <w:r>
              <w:rPr>
                <w:rFonts w:eastAsia="Arial" w:cs="Arial"/>
              </w:rPr>
              <w:t>pa</w:t>
            </w:r>
            <w:proofErr w:type="spellEnd"/>
            <w:proofErr w:type="gramEnd"/>
            <w:r>
              <w:rPr>
                <w:rFonts w:eastAsia="Arial" w:cs="Arial"/>
              </w:rPr>
              <w:t xml:space="preserve">. CPS-CN. Modification de la loi sur le matériel de guerre - </w:t>
            </w:r>
            <w:proofErr w:type="spellStart"/>
            <w:r>
              <w:rPr>
                <w:rFonts w:eastAsia="Arial" w:cs="Arial"/>
              </w:rPr>
              <w:t>Lex</w:t>
            </w:r>
            <w:proofErr w:type="spellEnd"/>
            <w:r>
              <w:rPr>
                <w:rFonts w:eastAsia="Arial" w:cs="Arial"/>
              </w:rPr>
              <w:t xml:space="preserve"> Ukraine</w:t>
            </w:r>
          </w:p>
          <w:p w14:paraId="0A24D61A" w14:textId="77777777" w:rsidR="001449E6" w:rsidRPr="001449E6" w:rsidRDefault="001449E6" w:rsidP="001449E6">
            <w:pPr>
              <w:rPr>
                <w:lang w:val="it-IT"/>
              </w:rPr>
            </w:pPr>
            <w:proofErr w:type="spellStart"/>
            <w:r w:rsidRPr="001449E6">
              <w:rPr>
                <w:rFonts w:eastAsia="Arial" w:cs="Arial"/>
                <w:lang w:val="it-IT"/>
              </w:rPr>
              <w:t>Iv</w:t>
            </w:r>
            <w:proofErr w:type="spellEnd"/>
            <w:r w:rsidRPr="001449E6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1449E6">
              <w:rPr>
                <w:rFonts w:eastAsia="Arial" w:cs="Arial"/>
                <w:lang w:val="it-IT"/>
              </w:rPr>
              <w:t>pa</w:t>
            </w:r>
            <w:proofErr w:type="spellEnd"/>
            <w:r w:rsidRPr="001449E6">
              <w:rPr>
                <w:rFonts w:eastAsia="Arial" w:cs="Arial"/>
                <w:lang w:val="it-IT"/>
              </w:rPr>
              <w:t xml:space="preserve">. CPS-CN. Modifica della legge federale sul materiale bellico – </w:t>
            </w:r>
            <w:proofErr w:type="spellStart"/>
            <w:r w:rsidRPr="001449E6">
              <w:rPr>
                <w:rFonts w:eastAsia="Arial" w:cs="Arial"/>
                <w:lang w:val="it-IT"/>
              </w:rPr>
              <w:t>Lex</w:t>
            </w:r>
            <w:proofErr w:type="spellEnd"/>
            <w:r w:rsidRPr="001449E6">
              <w:rPr>
                <w:rFonts w:eastAsia="Arial" w:cs="Arial"/>
                <w:lang w:val="it-IT"/>
              </w:rPr>
              <w:t xml:space="preserve"> Ukraine</w:t>
            </w:r>
          </w:p>
        </w:tc>
        <w:tc>
          <w:tcPr>
            <w:tcW w:w="976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423661C9" w14:textId="77777777" w:rsidR="001449E6" w:rsidRDefault="001449E6" w:rsidP="001449E6">
            <w:proofErr w:type="spellStart"/>
            <w:r>
              <w:rPr>
                <w:rFonts w:eastAsia="Arial" w:cs="Arial"/>
              </w:rPr>
              <w:t>SiK</w:t>
            </w:r>
            <w:proofErr w:type="spellEnd"/>
          </w:p>
          <w:p w14:paraId="3B523AA8" w14:textId="77777777" w:rsidR="001449E6" w:rsidRDefault="001449E6" w:rsidP="001449E6">
            <w:r>
              <w:rPr>
                <w:rFonts w:eastAsia="Arial" w:cs="Arial"/>
              </w:rPr>
              <w:t>CPS</w:t>
            </w:r>
          </w:p>
          <w:p w14:paraId="5CA10251" w14:textId="77777777" w:rsidR="001449E6" w:rsidRDefault="001449E6" w:rsidP="001449E6">
            <w:r>
              <w:rPr>
                <w:rFonts w:eastAsia="Arial" w:cs="Arial"/>
              </w:rPr>
              <w:t>CPS</w:t>
            </w:r>
          </w:p>
        </w:tc>
        <w:tc>
          <w:tcPr>
            <w:tcW w:w="1071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27E2BB9D" w14:textId="77777777" w:rsidR="001449E6" w:rsidRPr="001449E6" w:rsidRDefault="001449E6" w:rsidP="001449E6">
            <w:pPr>
              <w:rPr>
                <w:lang w:val="it-IT"/>
              </w:rPr>
            </w:pPr>
          </w:p>
        </w:tc>
        <w:tc>
          <w:tcPr>
            <w:tcW w:w="1221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404435E0" w14:textId="77777777" w:rsidR="001449E6" w:rsidRPr="001449E6" w:rsidRDefault="001449E6" w:rsidP="001449E6">
            <w:pPr>
              <w:rPr>
                <w:lang w:val="it-IT"/>
              </w:rPr>
            </w:pPr>
            <w:r>
              <w:rPr>
                <w:rFonts w:eastAsia="Arial" w:cs="Arial"/>
              </w:rPr>
              <w:t>Pointet, Rechsteiner Thomas</w:t>
            </w:r>
          </w:p>
        </w:tc>
        <w:tc>
          <w:tcPr>
            <w:tcW w:w="1071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13D3A2ED" w14:textId="77777777" w:rsidR="001449E6" w:rsidRPr="001449E6" w:rsidRDefault="001449E6" w:rsidP="001449E6">
            <w:pPr>
              <w:rPr>
                <w:lang w:val="it-IT"/>
              </w:rPr>
            </w:pPr>
            <w:r>
              <w:rPr>
                <w:rFonts w:eastAsia="Arial" w:cs="Arial"/>
              </w:rPr>
              <w:t>Fivaz Fabien</w:t>
            </w:r>
          </w:p>
        </w:tc>
        <w:tc>
          <w:tcPr>
            <w:tcW w:w="448" w:type="dxa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391E1BB1" w14:textId="77777777" w:rsidR="001449E6" w:rsidRPr="001449E6" w:rsidRDefault="001449E6" w:rsidP="001449E6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</w:t>
            </w:r>
          </w:p>
        </w:tc>
      </w:tr>
    </w:tbl>
    <w:p w14:paraId="0438B789" w14:textId="77777777" w:rsidR="001449E6" w:rsidRPr="001449E6" w:rsidRDefault="001449E6">
      <w:pPr>
        <w:rPr>
          <w:lang w:val="it-IT"/>
        </w:rPr>
      </w:pPr>
      <w:bookmarkStart w:id="1" w:name="_GoBack"/>
      <w:bookmarkEnd w:id="1"/>
    </w:p>
    <w:p w14:paraId="0EE5B6D9" w14:textId="77777777" w:rsidR="008871C8" w:rsidRPr="001449E6" w:rsidRDefault="001F4C54">
      <w:pPr>
        <w:rPr>
          <w:lang w:val="de-CH"/>
        </w:rPr>
      </w:pPr>
      <w:r w:rsidRPr="001449E6">
        <w:rPr>
          <w:rFonts w:eastAsia="Arial" w:cs="Arial"/>
          <w:sz w:val="14"/>
          <w:lang w:val="de-CH"/>
        </w:rPr>
        <w:t>*   Parlamentarische Initiativen, zu welchen die Kommission dem Rat Folge zu geben beantragt, werden aufgrund von Art. 28b Abs. 2 GRN prioritär behandelt.</w:t>
      </w:r>
    </w:p>
    <w:p w14:paraId="1DA45F87" w14:textId="77777777" w:rsidR="008871C8" w:rsidRDefault="001F4C54">
      <w:r w:rsidRPr="001449E6">
        <w:rPr>
          <w:rFonts w:eastAsia="Arial" w:cs="Arial"/>
          <w:sz w:val="14"/>
          <w:lang w:val="de-CH"/>
        </w:rPr>
        <w:t xml:space="preserve">    </w:t>
      </w:r>
      <w:r>
        <w:rPr>
          <w:rFonts w:eastAsia="Arial" w:cs="Arial"/>
          <w:sz w:val="14"/>
        </w:rPr>
        <w:t>Les initiatives parlementaires auxquelles la commission propose au conseil de donner suite sont traitées prioritairement, conformément à l’article 28b, al. 2, RCN.</w:t>
      </w:r>
    </w:p>
    <w:p w14:paraId="45F17677" w14:textId="77777777" w:rsidR="008871C8" w:rsidRPr="001449E6" w:rsidRDefault="001F4C54">
      <w:pPr>
        <w:rPr>
          <w:lang w:val="it-IT"/>
        </w:rPr>
      </w:pPr>
      <w:r>
        <w:rPr>
          <w:rFonts w:eastAsia="Arial" w:cs="Arial"/>
          <w:sz w:val="14"/>
        </w:rPr>
        <w:lastRenderedPageBreak/>
        <w:t xml:space="preserve">    </w:t>
      </w:r>
      <w:r w:rsidRPr="001449E6">
        <w:rPr>
          <w:rFonts w:eastAsia="Arial" w:cs="Arial"/>
          <w:sz w:val="14"/>
          <w:lang w:val="it-IT"/>
        </w:rPr>
        <w:t>Le iniziative parlamentari alle quali la commissione propone al Consiglio di dare seguito saranno trattate in modo prioritario, conformemente all’art. 28b cpv. 2 RCN.</w:t>
      </w:r>
    </w:p>
    <w:sectPr w:rsidR="008871C8" w:rsidRPr="001449E6" w:rsidSect="00A011C3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910FB" w14:textId="77777777" w:rsidR="001F4C54" w:rsidRDefault="001F4C54">
      <w:r>
        <w:separator/>
      </w:r>
    </w:p>
  </w:endnote>
  <w:endnote w:type="continuationSeparator" w:id="0">
    <w:p w14:paraId="7F7B2056" w14:textId="77777777" w:rsidR="001F4C54" w:rsidRDefault="001F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85D1" w14:textId="77777777" w:rsidR="00B12E56" w:rsidRPr="00F05DDF" w:rsidRDefault="001F4C54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449E6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449E6" w:rsidRPr="001449E6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050EA2AF" w14:textId="77777777" w:rsidR="00B12E56" w:rsidRDefault="00B12E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8D358" w14:textId="77777777" w:rsidR="003A77EA" w:rsidRPr="00F05DDF" w:rsidRDefault="001F4C54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449E6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449E6" w:rsidRPr="001449E6">
      <w:rPr>
        <w:bCs/>
        <w:noProof/>
        <w:lang w:val="de-DE"/>
      </w:rPr>
      <w:t>1</w:t>
    </w:r>
    <w:r w:rsidRPr="00F05DDF">
      <w:rPr>
        <w:bCs/>
      </w:rPr>
      <w:fldChar w:fldCharType="end"/>
    </w:r>
  </w:p>
  <w:p w14:paraId="36507803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0A2FF" w14:textId="77777777" w:rsidR="001F4C54" w:rsidRDefault="001F4C54">
      <w:r>
        <w:separator/>
      </w:r>
    </w:p>
  </w:footnote>
  <w:footnote w:type="continuationSeparator" w:id="0">
    <w:p w14:paraId="4305FE0C" w14:textId="77777777" w:rsidR="001F4C54" w:rsidRDefault="001F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6E090" w14:textId="77777777" w:rsidR="00294471" w:rsidRDefault="001F4C54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61C457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304D1" w14:textId="77777777" w:rsidR="00485287" w:rsidRDefault="00485287">
    <w:pPr>
      <w:pStyle w:val="Kopfzeile"/>
    </w:pPr>
  </w:p>
  <w:p w14:paraId="6A3CAFCC" w14:textId="77777777" w:rsidR="00485287" w:rsidRDefault="00485287">
    <w:pPr>
      <w:pStyle w:val="Kopfzeile"/>
    </w:pPr>
  </w:p>
  <w:p w14:paraId="35311833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8871C8" w:rsidRPr="001449E6" w14:paraId="09C4B76E" w14:textId="77777777" w:rsidTr="00A011C3">
      <w:tc>
        <w:tcPr>
          <w:tcW w:w="6096" w:type="dxa"/>
          <w:gridSpan w:val="3"/>
        </w:tcPr>
        <w:p w14:paraId="61BA8370" w14:textId="77777777" w:rsidR="00294471" w:rsidRPr="007610F2" w:rsidRDefault="001F4C54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4B515207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8871C8" w14:paraId="29BEC30E" w14:textId="77777777" w:rsidTr="00A011C3">
      <w:tc>
        <w:tcPr>
          <w:tcW w:w="993" w:type="dxa"/>
        </w:tcPr>
        <w:p w14:paraId="5ABDA51E" w14:textId="77777777" w:rsidR="00294471" w:rsidRDefault="001F4C54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1C41BA29" wp14:editId="208F8858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249730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874458B" w14:textId="77777777" w:rsidR="00294471" w:rsidRDefault="001F4C54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3D6E5C74" wp14:editId="4DDDA8BA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578432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9CB093" w14:textId="77777777" w:rsidR="00294471" w:rsidRPr="002F71A0" w:rsidRDefault="001F4C54" w:rsidP="00867300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Pr="002F71A0">
            <w:rPr>
              <w:noProof/>
              <w:lang w:val="en-US"/>
            </w:rPr>
            <w:t>18.04.2023</w:t>
          </w:r>
        </w:p>
      </w:tc>
      <w:tc>
        <w:tcPr>
          <w:tcW w:w="7228" w:type="dxa"/>
          <w:gridSpan w:val="2"/>
        </w:tcPr>
        <w:p w14:paraId="192ED165" w14:textId="77777777" w:rsidR="002F71A0" w:rsidRPr="001449E6" w:rsidRDefault="001F4C54" w:rsidP="006A3A42">
          <w:pPr>
            <w:pStyle w:val="Empfaenger"/>
            <w:rPr>
              <w:sz w:val="22"/>
              <w:lang w:val="fr-CH"/>
            </w:rPr>
          </w:pPr>
          <w:r w:rsidRPr="001449E6">
            <w:rPr>
              <w:noProof/>
              <w:sz w:val="22"/>
              <w:lang w:val="fr-CH"/>
            </w:rPr>
            <w:t>Ergänzung zur Tagesordnung</w:t>
          </w:r>
        </w:p>
        <w:p w14:paraId="3423C8F0" w14:textId="77777777" w:rsidR="00294471" w:rsidRPr="001449E6" w:rsidRDefault="001F4C54" w:rsidP="006A3A42">
          <w:pPr>
            <w:pStyle w:val="Empfaenger"/>
            <w:rPr>
              <w:sz w:val="22"/>
              <w:lang w:val="fr-CH"/>
            </w:rPr>
          </w:pPr>
          <w:r w:rsidRPr="001449E6">
            <w:rPr>
              <w:noProof/>
              <w:sz w:val="22"/>
              <w:lang w:val="fr-CH"/>
            </w:rPr>
            <w:t>Complément à l'ordre du jour</w:t>
          </w:r>
        </w:p>
        <w:p w14:paraId="5BE07055" w14:textId="77777777" w:rsidR="005E462B" w:rsidRPr="001449E6" w:rsidRDefault="001F4C54" w:rsidP="006A3A42">
          <w:pPr>
            <w:pStyle w:val="Empfaenger"/>
            <w:rPr>
              <w:sz w:val="22"/>
              <w:lang w:val="it-IT"/>
            </w:rPr>
          </w:pPr>
          <w:r w:rsidRPr="001449E6">
            <w:rPr>
              <w:noProof/>
              <w:sz w:val="22"/>
              <w:lang w:val="it-IT"/>
            </w:rPr>
            <w:t>Complemento all'ordine del giorno</w:t>
          </w:r>
          <w:r w:rsidR="00294471" w:rsidRPr="001449E6">
            <w:rPr>
              <w:sz w:val="22"/>
              <w:lang w:val="it-IT"/>
            </w:rPr>
            <w:br/>
          </w:r>
          <w:r w:rsidRPr="001449E6">
            <w:rPr>
              <w:noProof/>
              <w:sz w:val="22"/>
              <w:lang w:val="it-IT"/>
            </w:rPr>
            <w:t>Sondersession Mai 2023</w:t>
          </w:r>
          <w:r w:rsidR="00294471" w:rsidRPr="001449E6">
            <w:rPr>
              <w:sz w:val="22"/>
              <w:lang w:val="it-IT"/>
            </w:rPr>
            <w:br/>
          </w:r>
          <w:r w:rsidRPr="001449E6">
            <w:rPr>
              <w:noProof/>
              <w:sz w:val="22"/>
              <w:lang w:val="it-IT"/>
            </w:rPr>
            <w:t>Session spéciale mai 2023</w:t>
          </w:r>
          <w:r w:rsidR="00294471" w:rsidRPr="001449E6">
            <w:rPr>
              <w:sz w:val="22"/>
              <w:lang w:val="it-IT"/>
            </w:rPr>
            <w:br/>
          </w:r>
          <w:r w:rsidRPr="001449E6">
            <w:rPr>
              <w:noProof/>
              <w:sz w:val="22"/>
              <w:lang w:val="it-IT"/>
            </w:rPr>
            <w:t>Sessione speciale maggio 2023</w:t>
          </w:r>
        </w:p>
        <w:p w14:paraId="4C426237" w14:textId="77777777" w:rsidR="00C74678" w:rsidRPr="002F71A0" w:rsidRDefault="001F4C54" w:rsidP="006A3A42">
          <w:pPr>
            <w:pStyle w:val="Empfaenger"/>
            <w:rPr>
              <w:sz w:val="22"/>
              <w:lang w:val="en-US"/>
            </w:rPr>
          </w:pPr>
          <w:r>
            <w:rPr>
              <w:noProof/>
              <w:sz w:val="22"/>
              <w:lang w:val="en-US"/>
            </w:rPr>
            <w:t>02.05.2023</w:t>
          </w:r>
        </w:p>
      </w:tc>
    </w:tr>
    <w:bookmarkEnd w:id="2"/>
    <w:bookmarkEnd w:id="3"/>
    <w:bookmarkEnd w:id="4"/>
    <w:bookmarkEnd w:id="5"/>
    <w:bookmarkEnd w:id="6"/>
    <w:bookmarkEnd w:id="7"/>
  </w:tbl>
  <w:p w14:paraId="164DB938" w14:textId="77777777" w:rsidR="00294471" w:rsidRPr="002F71A0" w:rsidRDefault="00294471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09CC41D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7C2C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420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80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4F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B26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EC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63D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CAB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141AADC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15A1E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EC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C83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68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48E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03D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A04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181B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609CB33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C2893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968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E2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66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E10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A9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80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0F9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A386D41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8E208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2B7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2A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6C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8E18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E0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E8D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CA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323ED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F22208" w:tentative="1">
      <w:start w:val="1"/>
      <w:numFmt w:val="lowerLetter"/>
      <w:lvlText w:val="%2."/>
      <w:lvlJc w:val="left"/>
      <w:pPr>
        <w:ind w:left="1080" w:hanging="360"/>
      </w:pPr>
    </w:lvl>
    <w:lvl w:ilvl="2" w:tplc="E83CFA40" w:tentative="1">
      <w:start w:val="1"/>
      <w:numFmt w:val="lowerRoman"/>
      <w:lvlText w:val="%3."/>
      <w:lvlJc w:val="right"/>
      <w:pPr>
        <w:ind w:left="1800" w:hanging="180"/>
      </w:pPr>
    </w:lvl>
    <w:lvl w:ilvl="3" w:tplc="27BCB582" w:tentative="1">
      <w:start w:val="1"/>
      <w:numFmt w:val="decimal"/>
      <w:lvlText w:val="%4."/>
      <w:lvlJc w:val="left"/>
      <w:pPr>
        <w:ind w:left="2520" w:hanging="360"/>
      </w:pPr>
    </w:lvl>
    <w:lvl w:ilvl="4" w:tplc="BFDA995E" w:tentative="1">
      <w:start w:val="1"/>
      <w:numFmt w:val="lowerLetter"/>
      <w:lvlText w:val="%5."/>
      <w:lvlJc w:val="left"/>
      <w:pPr>
        <w:ind w:left="3240" w:hanging="360"/>
      </w:pPr>
    </w:lvl>
    <w:lvl w:ilvl="5" w:tplc="1C86838C" w:tentative="1">
      <w:start w:val="1"/>
      <w:numFmt w:val="lowerRoman"/>
      <w:lvlText w:val="%6."/>
      <w:lvlJc w:val="right"/>
      <w:pPr>
        <w:ind w:left="3960" w:hanging="180"/>
      </w:pPr>
    </w:lvl>
    <w:lvl w:ilvl="6" w:tplc="1A5EE346" w:tentative="1">
      <w:start w:val="1"/>
      <w:numFmt w:val="decimal"/>
      <w:lvlText w:val="%7."/>
      <w:lvlJc w:val="left"/>
      <w:pPr>
        <w:ind w:left="4680" w:hanging="360"/>
      </w:pPr>
    </w:lvl>
    <w:lvl w:ilvl="7" w:tplc="A5C28DE2" w:tentative="1">
      <w:start w:val="1"/>
      <w:numFmt w:val="lowerLetter"/>
      <w:lvlText w:val="%8."/>
      <w:lvlJc w:val="left"/>
      <w:pPr>
        <w:ind w:left="5400" w:hanging="360"/>
      </w:pPr>
    </w:lvl>
    <w:lvl w:ilvl="8" w:tplc="9766B8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A1C699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CE06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1AE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8E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441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25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42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E7D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F48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49E6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4C54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3CA8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1C8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38F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E6E2DB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220465" TargetMode="External"/><Relationship Id="rId18" Type="http://schemas.openxmlformats.org/officeDocument/2006/relationships/hyperlink" Target="https://www.parlament.ch/it/ratsbetrieb/suche-curia-vista/geschaeft?AffairId=20220480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30401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0480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0480" TargetMode="External"/><Relationship Id="rId20" Type="http://schemas.openxmlformats.org/officeDocument/2006/relationships/hyperlink" Target="https://www.parlament.ch/fr/ratsbetrieb/suche-curia-vista/geschaeft?AffairId=20230401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20465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30401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20465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Programm--Programme</Dokumententyp>
    <Klassifizierung xmlns="673932bc-7c50-4e93-afe1-7c692330eb19" xsi:nil="true"/>
    <Aktenzeichen xmlns="673932bc-7c50-4e93-afe1-7c692330eb19">203/2023 Ia/Programme--Programmes</Aktenzeichen>
    <Teildossier xmlns="673932bc-7c50-4e93-afe1-7c692330eb19">2023 Ia N</Teildossier>
    <e-parl xmlns="673932bc-7c50-4e93-afe1-7c692330eb19">true</e-parl>
    <Autor xmlns="673932bc-7c50-4e93-afe1-7c692330eb19">Jegher Annina PARL INT</Autor>
    <Dokumentendatum xmlns="673932bc-7c50-4e93-afe1-7c692330eb19">2023-04-17T22:00:00+00:00</Dokumentendatum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1C3E75A9194544B8A638432C47F7FA7" ma:contentTypeVersion="10" ma:contentTypeDescription="Crée un document." ma:contentTypeScope="" ma:versionID="b79c4b7f9a7cde0d79a64a3a4116ac2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10bab6b62e6abc6a280c2c16437f2913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516DE-2FCD-4F3A-9CF2-4530B32F4884}"/>
</file>

<file path=customXml/itemProps2.xml><?xml version="1.0" encoding="utf-8"?>
<ds:datastoreItem xmlns:ds="http://schemas.openxmlformats.org/officeDocument/2006/customXml" ds:itemID="{68A5858B-A8FF-493B-8D60-227066903907}"/>
</file>

<file path=customXml/itemProps3.xml><?xml version="1.0" encoding="utf-8"?>
<ds:datastoreItem xmlns:ds="http://schemas.openxmlformats.org/officeDocument/2006/customXml" ds:itemID="{03EA2A19-CE43-4A6E-9C0F-48FD69AC9BCE}"/>
</file>

<file path=customXml/itemProps4.xml><?xml version="1.0" encoding="utf-8"?>
<ds:datastoreItem xmlns:ds="http://schemas.openxmlformats.org/officeDocument/2006/customXml" ds:itemID="{FCACBDA0-94A4-4CF7-97F0-F3A690DB72F0}"/>
</file>

<file path=customXml/itemProps5.xml><?xml version="1.0" encoding="utf-8"?>
<ds:datastoreItem xmlns:ds="http://schemas.openxmlformats.org/officeDocument/2006/customXml" ds:itemID="{D3A4AEE4-26D5-4105-B324-E46C4AF28B67}"/>
</file>

<file path=customXml/itemProps6.xml><?xml version="1.0" encoding="utf-8"?>
<ds:datastoreItem xmlns:ds="http://schemas.openxmlformats.org/officeDocument/2006/customXml" ds:itemID="{2AD2EE9B-28E3-4AE8-8AA8-427AA739F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1502</Characters>
  <Application>Microsoft Office Word</Application>
  <DocSecurity>0</DocSecurity>
  <Lines>98</Lines>
  <Paragraphs>72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Initiativen 1. Phase Nationalrat--Initiatives parlementaires, 1ère phase Conseil national--Iniziative parlamentari, 1a fase Consiglio nazionale</dc:title>
  <dc:subject/>
  <dc:creator>Zülli Margaret</dc:creator>
  <cp:keywords/>
  <dc:description/>
  <cp:lastModifiedBy>Brossard Mélanie PARL INT</cp:lastModifiedBy>
  <cp:revision>2</cp:revision>
  <cp:lastPrinted>2016-10-27T15:51:00Z</cp:lastPrinted>
  <dcterms:created xsi:type="dcterms:W3CDTF">2023-04-18T12:12:00Z</dcterms:created>
  <dcterms:modified xsi:type="dcterms:W3CDTF">2023-04-18T12:12:00Z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0x0101006F7700D8DF1953488F58F32AB4E7CBB3010001C3E75A9194544B8A638432C47F7FA7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