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4776" w14:textId="771FC637" w:rsidR="00501866" w:rsidRPr="00281E88" w:rsidRDefault="00501866" w:rsidP="00501866">
      <w:pPr>
        <w:shd w:val="clear" w:color="auto" w:fill="FFFFFF"/>
        <w:rPr>
          <w:rFonts w:cs="Arial"/>
          <w:lang w:eastAsia="de-CH"/>
        </w:rPr>
      </w:pPr>
      <w:r w:rsidRPr="00281E88">
        <w:rPr>
          <w:rFonts w:cs="Arial"/>
          <w:lang w:eastAsia="de-CH"/>
        </w:rPr>
        <w:t xml:space="preserve">Stand / état / stato: </w:t>
      </w:r>
      <w:r w:rsidR="004F5406">
        <w:rPr>
          <w:rFonts w:cs="Arial"/>
          <w:lang w:eastAsia="de-CH"/>
        </w:rPr>
        <w:t>09.09</w:t>
      </w:r>
      <w:r w:rsidRPr="00281E88">
        <w:rPr>
          <w:rFonts w:cs="Arial"/>
          <w:lang w:eastAsia="de-CH"/>
        </w:rPr>
        <w:t>.2024</w:t>
      </w:r>
    </w:p>
    <w:p w14:paraId="3A27562E" w14:textId="77777777" w:rsidR="00501866" w:rsidRPr="00281E88" w:rsidRDefault="00501866" w:rsidP="00501866">
      <w:pPr>
        <w:rPr>
          <w:rFonts w:eastAsia="Arial" w:cs="Arial"/>
        </w:rPr>
      </w:pPr>
    </w:p>
    <w:p w14:paraId="1221F429" w14:textId="77777777" w:rsidR="00501866" w:rsidRPr="00281E88" w:rsidRDefault="00501866" w:rsidP="00501866">
      <w:pPr>
        <w:rPr>
          <w:rFonts w:eastAsia="Arial" w:cs="Arial"/>
        </w:rPr>
      </w:pPr>
    </w:p>
    <w:p w14:paraId="3BA08D61" w14:textId="77777777" w:rsidR="00501866" w:rsidRPr="00281E88" w:rsidRDefault="00501866" w:rsidP="00501866">
      <w:pPr>
        <w:rPr>
          <w:rFonts w:eastAsia="Arial" w:cs="Arial"/>
        </w:rPr>
      </w:pPr>
    </w:p>
    <w:p w14:paraId="195C9CD4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10F93BA6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  <w:bookmarkStart w:id="0" w:name="_GoBack"/>
      <w:bookmarkEnd w:id="0"/>
    </w:p>
    <w:p w14:paraId="4471FF7C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64630A04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468430B7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3"/>
        <w:gridCol w:w="522"/>
        <w:gridCol w:w="2190"/>
        <w:gridCol w:w="1432"/>
        <w:gridCol w:w="1244"/>
        <w:gridCol w:w="1149"/>
        <w:gridCol w:w="1254"/>
        <w:gridCol w:w="621"/>
      </w:tblGrid>
      <w:tr w:rsidR="00D50907" w14:paraId="1D9E348B" w14:textId="77777777" w:rsidTr="007A4525">
        <w:trPr>
          <w:trHeight w:val="911"/>
        </w:trPr>
        <w:tc>
          <w:tcPr>
            <w:tcW w:w="415" w:type="pct"/>
          </w:tcPr>
          <w:p w14:paraId="584DC09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39E207B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2F4FE84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78EC6FC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3" w:type="pct"/>
          </w:tcPr>
          <w:p w14:paraId="2B74673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2BA7C51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5E414B6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09F6FA9A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9" w:type="pct"/>
          </w:tcPr>
          <w:p w14:paraId="62F8984C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6" w:type="pct"/>
          </w:tcPr>
          <w:p w14:paraId="75F777D8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31BD8A5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4F6FE7D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131D2514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10" w:type="pct"/>
          </w:tcPr>
          <w:p w14:paraId="6024362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683F21E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5903A42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7BBD7030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7" w:type="pct"/>
          </w:tcPr>
          <w:p w14:paraId="2D85E397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0478DEF7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2C0E6BAB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404552F7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70" w:type="pct"/>
          </w:tcPr>
          <w:p w14:paraId="3E8CB16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367DECC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17F1183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17399C04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22" w:type="pct"/>
          </w:tcPr>
          <w:p w14:paraId="1823103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14328BE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722E59B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7735774E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8" w:type="pct"/>
          </w:tcPr>
          <w:p w14:paraId="592EEED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788D593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61A3714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563DD842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D50907" w14:paraId="3703C04F" w14:textId="77777777" w:rsidTr="004F5406">
        <w:trPr>
          <w:trHeight w:val="2269"/>
        </w:trPr>
        <w:tc>
          <w:tcPr>
            <w:tcW w:w="415" w:type="pct"/>
            <w:shd w:val="clear" w:color="auto" w:fill="D9D9D9" w:themeFill="background1" w:themeFillShade="D9"/>
          </w:tcPr>
          <w:p w14:paraId="595286CC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23.425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4E0A12D4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73813D3B" w14:textId="77777777" w:rsidR="00D50907" w:rsidRDefault="004F5406">
            <w:pPr>
              <w:rPr>
                <w:lang w:val="de-CH"/>
              </w:rPr>
            </w:pPr>
            <w:hyperlink r:id="rId11">
              <w:r w:rsidR="0077608F">
                <w:rPr>
                  <w:rStyle w:val="Lienhypertexte"/>
                </w:rPr>
                <w:t>DE</w:t>
              </w:r>
            </w:hyperlink>
          </w:p>
          <w:p w14:paraId="4017080E" w14:textId="77777777" w:rsidR="00D50907" w:rsidRDefault="004F5406">
            <w:pPr>
              <w:rPr>
                <w:lang w:val="de-CH"/>
              </w:rPr>
            </w:pPr>
            <w:hyperlink r:id="rId12">
              <w:r w:rsidR="0077608F">
                <w:rPr>
                  <w:rStyle w:val="Lienhypertexte"/>
                </w:rPr>
                <w:t>FR</w:t>
              </w:r>
            </w:hyperlink>
          </w:p>
          <w:p w14:paraId="4E9CD23C" w14:textId="77777777" w:rsidR="00D50907" w:rsidRDefault="004F5406">
            <w:pPr>
              <w:rPr>
                <w:lang w:val="de-CH"/>
              </w:rPr>
            </w:pPr>
            <w:hyperlink r:id="rId13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D9D9D9" w:themeFill="background1" w:themeFillShade="D9"/>
          </w:tcPr>
          <w:p w14:paraId="713A16C5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Masshardt. Transparentes Lobbying der Kantone</w:t>
            </w:r>
          </w:p>
          <w:p w14:paraId="5C886EA3" w14:textId="77777777" w:rsidR="00D50907" w:rsidRDefault="0077608F">
            <w:r>
              <w:rPr>
                <w:rFonts w:eastAsia="Arial" w:cs="Arial"/>
                <w:lang w:val="fr-CH"/>
              </w:rPr>
              <w:t>Iv.pa. Masshardt. Garantir la transparence du lobbying des cantons</w:t>
            </w:r>
          </w:p>
          <w:p w14:paraId="75B9AE40" w14:textId="373B1B4F" w:rsidR="00501866" w:rsidRPr="00106006" w:rsidRDefault="0077608F" w:rsidP="00B70A7A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Masshardt. Creare trasparenza nelle attività di lobbismo dei Cantoni</w:t>
            </w:r>
          </w:p>
        </w:tc>
        <w:tc>
          <w:tcPr>
            <w:tcW w:w="710" w:type="pct"/>
            <w:shd w:val="clear" w:color="auto" w:fill="D9D9D9" w:themeFill="background1" w:themeFillShade="D9"/>
          </w:tcPr>
          <w:p w14:paraId="6F5EC728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220B37C1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2366A215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3364D799" w14:textId="77777777" w:rsidR="00D50907" w:rsidRDefault="00D50907">
            <w:pPr>
              <w:rPr>
                <w:lang w:val="it-IT"/>
              </w:rPr>
            </w:pPr>
          </w:p>
          <w:p w14:paraId="3EAFC58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78388CD3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Pfister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2C7F65E0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Schläfli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2E741985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0FD18B7C" w14:textId="04BD54D6" w:rsidR="008615E3" w:rsidRDefault="008615E3"/>
    <w:p w14:paraId="6E6C4A7D" w14:textId="4A7762DF" w:rsidR="008615E3" w:rsidRDefault="008615E3"/>
    <w:p w14:paraId="6118DF00" w14:textId="0E26EC9B" w:rsidR="008615E3" w:rsidRDefault="008615E3"/>
    <w:p w14:paraId="064F9DBA" w14:textId="1D19AC4D" w:rsidR="008615E3" w:rsidRDefault="008615E3"/>
    <w:p w14:paraId="7CF3D3BF" w14:textId="3FD7625E" w:rsidR="008615E3" w:rsidRDefault="008615E3"/>
    <w:p w14:paraId="44E597C6" w14:textId="7B9BD382" w:rsidR="008615E3" w:rsidRDefault="008615E3"/>
    <w:p w14:paraId="240E171E" w14:textId="6A6EED86" w:rsidR="008615E3" w:rsidRDefault="008615E3"/>
    <w:p w14:paraId="3C9B21E5" w14:textId="31E753D5" w:rsidR="008615E3" w:rsidRDefault="008615E3"/>
    <w:p w14:paraId="1287F0DE" w14:textId="43CD4C28" w:rsidR="008615E3" w:rsidRDefault="008615E3"/>
    <w:p w14:paraId="35EF647D" w14:textId="15DBB349" w:rsidR="008615E3" w:rsidRDefault="008615E3"/>
    <w:p w14:paraId="2879C4C6" w14:textId="33B8EBF4" w:rsidR="008615E3" w:rsidRDefault="008615E3"/>
    <w:p w14:paraId="5840C608" w14:textId="4F86CA2E" w:rsidR="008615E3" w:rsidRDefault="008615E3"/>
    <w:p w14:paraId="01071E29" w14:textId="0AADB2A0" w:rsidR="008615E3" w:rsidRDefault="008615E3"/>
    <w:p w14:paraId="44AA60F8" w14:textId="77777777" w:rsidR="008615E3" w:rsidRDefault="008615E3"/>
    <w:tbl>
      <w:tblPr>
        <w:tblStyle w:val="Grilledutableau"/>
        <w:tblW w:w="5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3"/>
        <w:gridCol w:w="522"/>
        <w:gridCol w:w="2190"/>
        <w:gridCol w:w="1432"/>
        <w:gridCol w:w="1244"/>
        <w:gridCol w:w="1149"/>
        <w:gridCol w:w="1254"/>
        <w:gridCol w:w="621"/>
      </w:tblGrid>
      <w:tr w:rsidR="00D50907" w14:paraId="47C9F550" w14:textId="77777777" w:rsidTr="004F5406">
        <w:trPr>
          <w:trHeight w:val="698"/>
        </w:trPr>
        <w:tc>
          <w:tcPr>
            <w:tcW w:w="415" w:type="pct"/>
            <w:shd w:val="clear" w:color="auto" w:fill="D9D9D9" w:themeFill="background1" w:themeFillShade="D9"/>
          </w:tcPr>
          <w:p w14:paraId="25F56AFF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23.437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53167960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203B2F52" w14:textId="77777777" w:rsidR="00D50907" w:rsidRDefault="004F5406">
            <w:pPr>
              <w:rPr>
                <w:lang w:val="de-CH"/>
              </w:rPr>
            </w:pPr>
            <w:hyperlink r:id="rId14">
              <w:r w:rsidR="0077608F">
                <w:rPr>
                  <w:rStyle w:val="Lienhypertexte"/>
                </w:rPr>
                <w:t>DE</w:t>
              </w:r>
            </w:hyperlink>
          </w:p>
          <w:p w14:paraId="19930F4B" w14:textId="77777777" w:rsidR="00D50907" w:rsidRDefault="004F5406">
            <w:pPr>
              <w:rPr>
                <w:lang w:val="de-CH"/>
              </w:rPr>
            </w:pPr>
            <w:hyperlink r:id="rId15">
              <w:r w:rsidR="0077608F">
                <w:rPr>
                  <w:rStyle w:val="Lienhypertexte"/>
                </w:rPr>
                <w:t>FR</w:t>
              </w:r>
            </w:hyperlink>
          </w:p>
          <w:p w14:paraId="39BE740F" w14:textId="77777777" w:rsidR="00D50907" w:rsidRDefault="004F5406">
            <w:pPr>
              <w:rPr>
                <w:lang w:val="de-CH"/>
              </w:rPr>
            </w:pPr>
            <w:hyperlink r:id="rId16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D9D9D9" w:themeFill="background1" w:themeFillShade="D9"/>
          </w:tcPr>
          <w:p w14:paraId="5A7725AF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Buffat. KVG. Der Erhöhung der Tarife den Riegel vorschieben, die Kostenexplosion bremsen, die Bevölkerung beschützen</w:t>
            </w:r>
          </w:p>
          <w:p w14:paraId="27ED9A4B" w14:textId="77777777" w:rsidR="00D50907" w:rsidRDefault="0077608F">
            <w:r>
              <w:rPr>
                <w:rFonts w:eastAsia="Arial" w:cs="Arial"/>
                <w:lang w:val="fr-CH"/>
              </w:rPr>
              <w:t>Iv.pa. Buffat. LAMal. Mettre le holà à l'augmentation des tarifs, freiner l'explosion des coûts, protéger la population</w:t>
            </w:r>
          </w:p>
          <w:p w14:paraId="6145026A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Buffat. LAMal. Porre un freno all'aumento delle tariffe, contenere l'esplosione dei costi, proteggere la popolazione</w:t>
            </w:r>
          </w:p>
          <w:p w14:paraId="2F7A8E2D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</w:tcPr>
          <w:p w14:paraId="0BAD1CE2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0B39B6FD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402DB3D2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345843B3" w14:textId="77777777" w:rsidR="00D50907" w:rsidRDefault="00D50907">
            <w:pPr>
              <w:rPr>
                <w:lang w:val="it-IT"/>
              </w:rPr>
            </w:pPr>
          </w:p>
          <w:p w14:paraId="3929FDA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1AF4980F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Piller Carrard, Hess Lorenz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347A2741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Aeschi Thomas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D40BE1B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14:paraId="71968862" w14:textId="77777777" w:rsidTr="004F5406">
        <w:trPr>
          <w:trHeight w:val="2749"/>
        </w:trPr>
        <w:tc>
          <w:tcPr>
            <w:tcW w:w="415" w:type="pct"/>
            <w:shd w:val="clear" w:color="auto" w:fill="D9D9D9" w:themeFill="background1" w:themeFillShade="D9"/>
          </w:tcPr>
          <w:p w14:paraId="29D4E04C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23.438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66AD7C1A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287EF000" w14:textId="77777777" w:rsidR="00D50907" w:rsidRDefault="004F5406">
            <w:pPr>
              <w:rPr>
                <w:lang w:val="de-CH"/>
              </w:rPr>
            </w:pPr>
            <w:hyperlink r:id="rId17">
              <w:r w:rsidR="0077608F">
                <w:rPr>
                  <w:rStyle w:val="Lienhypertexte"/>
                </w:rPr>
                <w:t>DE</w:t>
              </w:r>
            </w:hyperlink>
          </w:p>
          <w:p w14:paraId="28CA01D3" w14:textId="77777777" w:rsidR="00D50907" w:rsidRDefault="004F5406">
            <w:pPr>
              <w:rPr>
                <w:lang w:val="de-CH"/>
              </w:rPr>
            </w:pPr>
            <w:hyperlink r:id="rId18">
              <w:r w:rsidR="0077608F">
                <w:rPr>
                  <w:rStyle w:val="Lienhypertexte"/>
                </w:rPr>
                <w:t>FR</w:t>
              </w:r>
            </w:hyperlink>
          </w:p>
          <w:p w14:paraId="68B4BC9D" w14:textId="77777777" w:rsidR="00D50907" w:rsidRDefault="004F5406">
            <w:pPr>
              <w:rPr>
                <w:lang w:val="de-CH"/>
              </w:rPr>
            </w:pPr>
            <w:hyperlink r:id="rId19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D9D9D9" w:themeFill="background1" w:themeFillShade="D9"/>
          </w:tcPr>
          <w:p w14:paraId="78B4BF61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Fraktion G. Datenschutzgesetzgebung anpassen und um teilautomatisierte Entscheide aufgrund künstlicher Intelligenz ergänzen</w:t>
            </w:r>
          </w:p>
          <w:p w14:paraId="491EDF1A" w14:textId="77777777" w:rsidR="00D50907" w:rsidRDefault="0077608F">
            <w:r>
              <w:rPr>
                <w:rFonts w:eastAsia="Arial" w:cs="Arial"/>
                <w:lang w:val="fr-CH"/>
              </w:rPr>
              <w:t>Iv.pa. Groupe G. Loi sur la protection des données. Ajouter une disposition sur les décisions automatisées qui se fondent sur l'intelligence artificielle</w:t>
            </w:r>
          </w:p>
          <w:p w14:paraId="4061D3D1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Adeguare la legislazione in materia di protezione dei dati prevedendo un disciplinamento per le decisioni parzialmente automatizzate basate sull'intelligenza artificiale</w:t>
            </w:r>
          </w:p>
          <w:p w14:paraId="0407DDE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</w:tcPr>
          <w:p w14:paraId="3CD9C79B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09CB5E7A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59F427A4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06A196B3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  <w:p w14:paraId="001EF58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3EBDB467" w14:textId="77777777" w:rsidR="00D50907" w:rsidRDefault="00281E88">
            <w:pPr>
              <w:rPr>
                <w:lang w:val="it-IT"/>
              </w:rPr>
            </w:pPr>
            <w:r w:rsidRPr="00B70A7A">
              <w:rPr>
                <w:lang w:val="it-IT"/>
              </w:rPr>
              <w:t>Wasserfallen Christian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EBE9908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1017FF4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14:paraId="78273182" w14:textId="77777777" w:rsidTr="004F5406">
        <w:trPr>
          <w:trHeight w:val="2749"/>
        </w:trPr>
        <w:tc>
          <w:tcPr>
            <w:tcW w:w="415" w:type="pct"/>
            <w:shd w:val="clear" w:color="auto" w:fill="D9D9D9" w:themeFill="background1" w:themeFillShade="D9"/>
          </w:tcPr>
          <w:p w14:paraId="36FB0227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23.441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568E5108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2CC788F5" w14:textId="77777777" w:rsidR="00D50907" w:rsidRDefault="004F5406">
            <w:pPr>
              <w:rPr>
                <w:lang w:val="de-CH"/>
              </w:rPr>
            </w:pPr>
            <w:hyperlink r:id="rId20">
              <w:r w:rsidR="0077608F">
                <w:rPr>
                  <w:rStyle w:val="Lienhypertexte"/>
                </w:rPr>
                <w:t>DE</w:t>
              </w:r>
            </w:hyperlink>
          </w:p>
          <w:p w14:paraId="7DDDEBCD" w14:textId="77777777" w:rsidR="00D50907" w:rsidRDefault="004F5406">
            <w:pPr>
              <w:rPr>
                <w:lang w:val="de-CH"/>
              </w:rPr>
            </w:pPr>
            <w:hyperlink r:id="rId21">
              <w:r w:rsidR="0077608F">
                <w:rPr>
                  <w:rStyle w:val="Lienhypertexte"/>
                </w:rPr>
                <w:t>FR</w:t>
              </w:r>
            </w:hyperlink>
          </w:p>
          <w:p w14:paraId="45AC1EA5" w14:textId="77777777" w:rsidR="00D50907" w:rsidRDefault="004F5406">
            <w:pPr>
              <w:rPr>
                <w:lang w:val="de-CH"/>
              </w:rPr>
            </w:pPr>
            <w:hyperlink r:id="rId22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D9D9D9" w:themeFill="background1" w:themeFillShade="D9"/>
          </w:tcPr>
          <w:p w14:paraId="77206D7D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Bläsi. Ausweisung von Kriminellen. Entsprechend dem Geist des Gesetzes und dem Volkswillen soll sich nur das Gericht auf einen Härtefall berufen können</w:t>
            </w:r>
          </w:p>
          <w:p w14:paraId="3215548A" w14:textId="77777777" w:rsidR="00D50907" w:rsidRDefault="0077608F">
            <w:r>
              <w:rPr>
                <w:rFonts w:eastAsia="Arial" w:cs="Arial"/>
                <w:lang w:val="fr-CH"/>
              </w:rPr>
              <w:t>Iv.pa. Bläsi. Expulsion des criminels. Seul le juge doit pouvoir invoquer le cas de rigueur, conformément à l'esprit de la loi et à la volonté populaire</w:t>
            </w:r>
          </w:p>
          <w:p w14:paraId="7758FCFC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Bläsi. Espulsione delle persone che commettono reati. Nel rispetto dello spirito della legge e della volontà del Popolo il giudice deve essere il solo a poter invocare un caso di rigore</w:t>
            </w:r>
          </w:p>
          <w:p w14:paraId="2BEE3AF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</w:tcPr>
          <w:p w14:paraId="6D5A0E64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32E716A7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665CD61D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128F0163" w14:textId="77777777" w:rsidR="00D50907" w:rsidRDefault="00D50907">
            <w:pPr>
              <w:rPr>
                <w:lang w:val="it-IT"/>
              </w:rPr>
            </w:pPr>
          </w:p>
          <w:p w14:paraId="1334E731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F960D6D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Tschopp, Paganini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6A8E0B80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Steinemann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665C25E8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14:paraId="7ED4D9B2" w14:textId="77777777" w:rsidTr="007A4525">
        <w:trPr>
          <w:trHeight w:val="1690"/>
        </w:trPr>
        <w:tc>
          <w:tcPr>
            <w:tcW w:w="415" w:type="pct"/>
          </w:tcPr>
          <w:p w14:paraId="12A34E93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23.447</w:t>
            </w:r>
          </w:p>
        </w:tc>
        <w:tc>
          <w:tcPr>
            <w:tcW w:w="413" w:type="pct"/>
          </w:tcPr>
          <w:p w14:paraId="1E0A2B1B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07246C26" w14:textId="77777777" w:rsidR="00D50907" w:rsidRDefault="004F5406">
            <w:pPr>
              <w:rPr>
                <w:lang w:val="de-CH"/>
              </w:rPr>
            </w:pPr>
            <w:hyperlink r:id="rId23">
              <w:r w:rsidR="0077608F">
                <w:rPr>
                  <w:rStyle w:val="Lienhypertexte"/>
                </w:rPr>
                <w:t>DE</w:t>
              </w:r>
            </w:hyperlink>
          </w:p>
          <w:p w14:paraId="1B55B045" w14:textId="77777777" w:rsidR="00D50907" w:rsidRDefault="004F5406">
            <w:pPr>
              <w:rPr>
                <w:lang w:val="de-CH"/>
              </w:rPr>
            </w:pPr>
            <w:hyperlink r:id="rId24">
              <w:r w:rsidR="0077608F">
                <w:rPr>
                  <w:rStyle w:val="Lienhypertexte"/>
                </w:rPr>
                <w:t>FR</w:t>
              </w:r>
            </w:hyperlink>
          </w:p>
          <w:p w14:paraId="4157FEF7" w14:textId="77777777" w:rsidR="00D50907" w:rsidRDefault="004F5406">
            <w:pPr>
              <w:rPr>
                <w:lang w:val="de-CH"/>
              </w:rPr>
            </w:pPr>
            <w:hyperlink r:id="rId25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</w:tcPr>
          <w:p w14:paraId="291FA8BD" w14:textId="77777777" w:rsidR="00F614F6" w:rsidRDefault="0077608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Mahaim. </w:t>
            </w:r>
          </w:p>
          <w:p w14:paraId="67DD1089" w14:textId="25B84444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Der Umgang mit dem blauen Gold in der Schweiz und der Wassermangel. Mit einer Verfassungsänderung vorausschauend handeln, statt zu reagieren</w:t>
            </w:r>
          </w:p>
          <w:p w14:paraId="26D04A90" w14:textId="77777777" w:rsidR="00D50907" w:rsidRDefault="0077608F">
            <w:r w:rsidRPr="00281E88">
              <w:rPr>
                <w:rFonts w:eastAsia="Arial" w:cs="Arial"/>
                <w:lang w:val="de-CH"/>
              </w:rPr>
              <w:t xml:space="preserve">Iv.pa. Mahaim. </w:t>
            </w:r>
            <w:r>
              <w:rPr>
                <w:rFonts w:eastAsia="Arial" w:cs="Arial"/>
                <w:lang w:val="fr-CH"/>
              </w:rPr>
              <w:t>Gestion de l'or bleu en Suisse et pénuries. Modifier la Constitution pour anticiper plutôt que réagir</w:t>
            </w:r>
          </w:p>
          <w:p w14:paraId="1FC93448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Mahaim. Gestione dell'oro blu in Svizzera e situazioni di penuria. Modificare la Costituzione per agire d'anticipo anziché limitarsi a reagire</w:t>
            </w:r>
          </w:p>
          <w:p w14:paraId="04E769F4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</w:tcPr>
          <w:p w14:paraId="3CD8672B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54FAB8EF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31957A46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617" w:type="pct"/>
          </w:tcPr>
          <w:p w14:paraId="4E8093EA" w14:textId="77777777" w:rsidR="00D50907" w:rsidRDefault="00D50907">
            <w:pPr>
              <w:rPr>
                <w:lang w:val="it-IT"/>
              </w:rPr>
            </w:pPr>
          </w:p>
          <w:p w14:paraId="35B75299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</w:tcPr>
          <w:p w14:paraId="54E88236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Kolly, Graber</w:t>
            </w:r>
          </w:p>
        </w:tc>
        <w:tc>
          <w:tcPr>
            <w:tcW w:w="622" w:type="pct"/>
          </w:tcPr>
          <w:p w14:paraId="76D82828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Trede</w:t>
            </w:r>
          </w:p>
        </w:tc>
        <w:tc>
          <w:tcPr>
            <w:tcW w:w="308" w:type="pct"/>
          </w:tcPr>
          <w:p w14:paraId="5D897EDD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14:paraId="767B44CA" w14:textId="77777777" w:rsidTr="007A4525">
        <w:trPr>
          <w:trHeight w:val="2749"/>
        </w:trPr>
        <w:tc>
          <w:tcPr>
            <w:tcW w:w="415" w:type="pct"/>
          </w:tcPr>
          <w:p w14:paraId="46B073B4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23.454</w:t>
            </w:r>
          </w:p>
        </w:tc>
        <w:tc>
          <w:tcPr>
            <w:tcW w:w="413" w:type="pct"/>
          </w:tcPr>
          <w:p w14:paraId="7A53ABE9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76F6FC95" w14:textId="77777777" w:rsidR="00D50907" w:rsidRDefault="004F5406">
            <w:pPr>
              <w:rPr>
                <w:lang w:val="de-CH"/>
              </w:rPr>
            </w:pPr>
            <w:hyperlink r:id="rId26">
              <w:r w:rsidR="0077608F">
                <w:rPr>
                  <w:rStyle w:val="Lienhypertexte"/>
                </w:rPr>
                <w:t>DE</w:t>
              </w:r>
            </w:hyperlink>
          </w:p>
          <w:p w14:paraId="7C44D28B" w14:textId="77777777" w:rsidR="00D50907" w:rsidRDefault="004F5406">
            <w:pPr>
              <w:rPr>
                <w:lang w:val="de-CH"/>
              </w:rPr>
            </w:pPr>
            <w:hyperlink r:id="rId27">
              <w:r w:rsidR="0077608F">
                <w:rPr>
                  <w:rStyle w:val="Lienhypertexte"/>
                </w:rPr>
                <w:t>FR</w:t>
              </w:r>
            </w:hyperlink>
          </w:p>
          <w:p w14:paraId="774E066B" w14:textId="77777777" w:rsidR="00D50907" w:rsidRDefault="004F5406">
            <w:pPr>
              <w:rPr>
                <w:lang w:val="de-CH"/>
              </w:rPr>
            </w:pPr>
            <w:hyperlink r:id="rId28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</w:tcPr>
          <w:p w14:paraId="075934AE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Michaud Gigon. Einführung eines freiwilligen Rechtsstatus "Nachhaltiges Unternehmen" für Schweizer KMU</w:t>
            </w:r>
          </w:p>
          <w:p w14:paraId="0446A9CB" w14:textId="77777777" w:rsidR="00D50907" w:rsidRDefault="0077608F">
            <w:r>
              <w:rPr>
                <w:rFonts w:eastAsia="Arial" w:cs="Arial"/>
                <w:lang w:val="fr-CH"/>
              </w:rPr>
              <w:t>Iv.pa. Michaud Gigon. Introduire un statut juridique facultatif "Entreprise durable" pour les PME suisses</w:t>
            </w:r>
          </w:p>
          <w:p w14:paraId="25EC752A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Michaud Gigon. Introdurre uno statuto giuridico facoltativo di "Impresa Sostenibile" per le PMI svizzere</w:t>
            </w:r>
          </w:p>
          <w:p w14:paraId="7B578A5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</w:tcPr>
          <w:p w14:paraId="68644E9A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B285FF4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6F61712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7" w:type="pct"/>
          </w:tcPr>
          <w:p w14:paraId="29DFB1BB" w14:textId="77777777" w:rsidR="00D50907" w:rsidRDefault="00D50907">
            <w:pPr>
              <w:rPr>
                <w:lang w:val="it-IT"/>
              </w:rPr>
            </w:pPr>
          </w:p>
          <w:p w14:paraId="05B22283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</w:tcPr>
          <w:p w14:paraId="1DE2AB52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Buffat</w:t>
            </w:r>
          </w:p>
        </w:tc>
        <w:tc>
          <w:tcPr>
            <w:tcW w:w="622" w:type="pct"/>
          </w:tcPr>
          <w:p w14:paraId="1BD33751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von Falkenstein</w:t>
            </w:r>
          </w:p>
        </w:tc>
        <w:tc>
          <w:tcPr>
            <w:tcW w:w="308" w:type="pct"/>
          </w:tcPr>
          <w:p w14:paraId="10FDDFB1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:rsidRPr="00B70A7A" w14:paraId="0A319468" w14:textId="77777777" w:rsidTr="007A4525">
        <w:trPr>
          <w:trHeight w:val="2749"/>
        </w:trPr>
        <w:tc>
          <w:tcPr>
            <w:tcW w:w="415" w:type="pct"/>
            <w:shd w:val="clear" w:color="auto" w:fill="auto"/>
          </w:tcPr>
          <w:p w14:paraId="720B0220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de-CH"/>
              </w:rPr>
              <w:t>23.459</w:t>
            </w:r>
          </w:p>
        </w:tc>
        <w:tc>
          <w:tcPr>
            <w:tcW w:w="413" w:type="pct"/>
            <w:shd w:val="clear" w:color="auto" w:fill="auto"/>
          </w:tcPr>
          <w:p w14:paraId="2B5D727F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auto"/>
          </w:tcPr>
          <w:p w14:paraId="3AFE4921" w14:textId="77777777" w:rsidR="00D50907" w:rsidRPr="00B70A7A" w:rsidRDefault="004F5406">
            <w:pPr>
              <w:rPr>
                <w:lang w:val="de-CH"/>
              </w:rPr>
            </w:pPr>
            <w:hyperlink r:id="rId29">
              <w:r w:rsidR="0077608F" w:rsidRPr="00B70A7A">
                <w:rPr>
                  <w:rStyle w:val="Lienhypertexte"/>
                </w:rPr>
                <w:t>DE</w:t>
              </w:r>
            </w:hyperlink>
          </w:p>
          <w:p w14:paraId="48484C68" w14:textId="77777777" w:rsidR="00D50907" w:rsidRPr="00B70A7A" w:rsidRDefault="004F5406">
            <w:pPr>
              <w:rPr>
                <w:lang w:val="de-CH"/>
              </w:rPr>
            </w:pPr>
            <w:hyperlink r:id="rId30">
              <w:r w:rsidR="0077608F" w:rsidRPr="00B70A7A">
                <w:rPr>
                  <w:rStyle w:val="Lienhypertexte"/>
                </w:rPr>
                <w:t>FR</w:t>
              </w:r>
            </w:hyperlink>
          </w:p>
          <w:p w14:paraId="18A80E52" w14:textId="77777777" w:rsidR="00D50907" w:rsidRPr="00B70A7A" w:rsidRDefault="004F5406">
            <w:pPr>
              <w:rPr>
                <w:lang w:val="de-CH"/>
              </w:rPr>
            </w:pPr>
            <w:hyperlink r:id="rId31">
              <w:r w:rsidR="0077608F" w:rsidRPr="00B70A7A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auto"/>
          </w:tcPr>
          <w:p w14:paraId="079E351B" w14:textId="77777777" w:rsidR="00F614F6" w:rsidRDefault="0077608F">
            <w:pPr>
              <w:rPr>
                <w:rFonts w:eastAsia="Arial" w:cs="Arial"/>
                <w:lang w:val="de-CH"/>
              </w:rPr>
            </w:pPr>
            <w:r w:rsidRPr="00B70A7A">
              <w:rPr>
                <w:rFonts w:eastAsia="Arial" w:cs="Arial"/>
                <w:lang w:val="de-CH"/>
              </w:rPr>
              <w:t xml:space="preserve">pa. Iv. Amaudruz. </w:t>
            </w:r>
          </w:p>
          <w:p w14:paraId="023A1FC8" w14:textId="24AC78AC" w:rsidR="00D50907" w:rsidRPr="00B70A7A" w:rsidRDefault="0077608F">
            <w:pPr>
              <w:rPr>
                <w:lang w:val="de-CH"/>
              </w:rPr>
            </w:pPr>
            <w:r w:rsidRPr="00B70A7A">
              <w:rPr>
                <w:rFonts w:eastAsia="Arial" w:cs="Arial"/>
                <w:lang w:val="de-CH"/>
              </w:rPr>
              <w:t>Die Kaufkraft der Bevölkerung erhalten mit einem Krankenkassenprämien-Moratorium</w:t>
            </w:r>
          </w:p>
          <w:p w14:paraId="0AE1F3C8" w14:textId="77777777" w:rsidR="00D50907" w:rsidRPr="00B70A7A" w:rsidRDefault="0077608F">
            <w:r w:rsidRPr="00B70A7A">
              <w:rPr>
                <w:rFonts w:eastAsia="Arial" w:cs="Arial"/>
                <w:lang w:val="fr-CH"/>
              </w:rPr>
              <w:t>Iv.pa. Amaudruz. Sauvegarder le pouvoir d'achat de la population avec un moratoire sur les primes maladie</w:t>
            </w:r>
          </w:p>
          <w:p w14:paraId="1951F503" w14:textId="77777777" w:rsidR="00D50907" w:rsidRPr="00B70A7A" w:rsidRDefault="0077608F">
            <w:pPr>
              <w:rPr>
                <w:rFonts w:eastAsia="Arial" w:cs="Arial"/>
                <w:lang w:val="it-IT"/>
              </w:rPr>
            </w:pPr>
            <w:r w:rsidRPr="00B70A7A">
              <w:rPr>
                <w:rFonts w:eastAsia="Arial" w:cs="Arial"/>
                <w:lang w:val="it-IT"/>
              </w:rPr>
              <w:t>Iv.pa. Amaudruz. Salvaguardare il potere di acquisto della popolazione per mezzo di una moratoria sui premi di cassa malati</w:t>
            </w:r>
          </w:p>
          <w:p w14:paraId="783124C8" w14:textId="77777777" w:rsidR="00501866" w:rsidRPr="00B70A7A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shd w:val="clear" w:color="auto" w:fill="auto"/>
          </w:tcPr>
          <w:p w14:paraId="0A6F0155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1AE2452C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7C461B30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430C6994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026815B8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7AEA9B43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7C6B7B77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F03277B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198E8771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0A821F33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944D9A9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EAAF14F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24CF520B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418B450D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105D0029" w14:textId="799FF15F" w:rsidR="00D50907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 xml:space="preserve">) </w:t>
            </w:r>
            <w:r w:rsidR="0077608F" w:rsidRPr="00B70A7A">
              <w:rPr>
                <w:lang w:val="it-IT"/>
              </w:rPr>
              <w:t>SGK</w:t>
            </w:r>
          </w:p>
          <w:p w14:paraId="5ADBEB8D" w14:textId="3340A4BB" w:rsidR="00D50907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 xml:space="preserve">) </w:t>
            </w:r>
            <w:r w:rsidR="0077608F" w:rsidRPr="00B70A7A">
              <w:rPr>
                <w:lang w:val="it-IT"/>
              </w:rPr>
              <w:t>CSSS</w:t>
            </w:r>
          </w:p>
          <w:p w14:paraId="23EB83A8" w14:textId="77777777" w:rsidR="00D50907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 xml:space="preserve">) </w:t>
            </w:r>
            <w:r w:rsidR="0077608F" w:rsidRPr="00B70A7A">
              <w:rPr>
                <w:lang w:val="it-IT"/>
              </w:rPr>
              <w:t>CSSS</w:t>
            </w:r>
          </w:p>
          <w:p w14:paraId="41E86514" w14:textId="0AB18316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 xml:space="preserve">) </w:t>
            </w:r>
          </w:p>
        </w:tc>
        <w:tc>
          <w:tcPr>
            <w:tcW w:w="617" w:type="pct"/>
            <w:shd w:val="clear" w:color="auto" w:fill="auto"/>
          </w:tcPr>
          <w:p w14:paraId="0B7A767A" w14:textId="77777777" w:rsidR="00D50907" w:rsidRPr="00B70A7A" w:rsidRDefault="00D50907">
            <w:pPr>
              <w:rPr>
                <w:lang w:val="it-IT"/>
              </w:rPr>
            </w:pPr>
          </w:p>
          <w:p w14:paraId="741FE15C" w14:textId="77777777" w:rsidR="00501866" w:rsidRPr="00B70A7A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auto"/>
          </w:tcPr>
          <w:p w14:paraId="06158BB9" w14:textId="77777777" w:rsidR="00D50907" w:rsidRPr="00B70A7A" w:rsidRDefault="00281E88">
            <w:pPr>
              <w:rPr>
                <w:lang w:val="it-IT"/>
              </w:rPr>
            </w:pPr>
            <w:r w:rsidRPr="00B70A7A">
              <w:rPr>
                <w:lang w:val="it-IT"/>
              </w:rPr>
              <w:t>Aelly, de Courten</w:t>
            </w:r>
          </w:p>
        </w:tc>
        <w:tc>
          <w:tcPr>
            <w:tcW w:w="622" w:type="pct"/>
            <w:shd w:val="clear" w:color="auto" w:fill="auto"/>
          </w:tcPr>
          <w:p w14:paraId="039DF115" w14:textId="77777777" w:rsidR="00D50907" w:rsidRPr="00B70A7A" w:rsidRDefault="0077608F">
            <w:pPr>
              <w:rPr>
                <w:lang w:val="it-IT"/>
              </w:rPr>
            </w:pPr>
            <w:r w:rsidRPr="00B70A7A">
              <w:rPr>
                <w:lang w:val="it-IT"/>
              </w:rPr>
              <w:t>Piller Carrard</w:t>
            </w:r>
          </w:p>
        </w:tc>
        <w:tc>
          <w:tcPr>
            <w:tcW w:w="308" w:type="pct"/>
            <w:shd w:val="clear" w:color="auto" w:fill="auto"/>
          </w:tcPr>
          <w:p w14:paraId="5D3660EF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it-IT"/>
              </w:rPr>
              <w:t>IV</w:t>
            </w:r>
          </w:p>
        </w:tc>
      </w:tr>
      <w:tr w:rsidR="00D50907" w14:paraId="7F894A29" w14:textId="77777777" w:rsidTr="007A4525">
        <w:trPr>
          <w:trHeight w:val="2749"/>
        </w:trPr>
        <w:tc>
          <w:tcPr>
            <w:tcW w:w="415" w:type="pct"/>
            <w:shd w:val="clear" w:color="auto" w:fill="auto"/>
          </w:tcPr>
          <w:p w14:paraId="2B171C9E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de-CH"/>
              </w:rPr>
              <w:lastRenderedPageBreak/>
              <w:t>23.466</w:t>
            </w:r>
          </w:p>
        </w:tc>
        <w:tc>
          <w:tcPr>
            <w:tcW w:w="413" w:type="pct"/>
            <w:shd w:val="clear" w:color="auto" w:fill="auto"/>
          </w:tcPr>
          <w:p w14:paraId="30B1B423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auto"/>
          </w:tcPr>
          <w:p w14:paraId="2C587B48" w14:textId="77777777" w:rsidR="00D50907" w:rsidRPr="00B70A7A" w:rsidRDefault="004F5406">
            <w:pPr>
              <w:rPr>
                <w:lang w:val="de-CH"/>
              </w:rPr>
            </w:pPr>
            <w:hyperlink r:id="rId32">
              <w:r w:rsidR="0077608F" w:rsidRPr="00B70A7A">
                <w:rPr>
                  <w:rStyle w:val="Lienhypertexte"/>
                </w:rPr>
                <w:t>DE</w:t>
              </w:r>
            </w:hyperlink>
          </w:p>
          <w:p w14:paraId="597E4775" w14:textId="77777777" w:rsidR="00D50907" w:rsidRPr="00B70A7A" w:rsidRDefault="004F5406">
            <w:pPr>
              <w:rPr>
                <w:lang w:val="de-CH"/>
              </w:rPr>
            </w:pPr>
            <w:hyperlink r:id="rId33">
              <w:r w:rsidR="0077608F" w:rsidRPr="00B70A7A">
                <w:rPr>
                  <w:rStyle w:val="Lienhypertexte"/>
                </w:rPr>
                <w:t>FR</w:t>
              </w:r>
            </w:hyperlink>
          </w:p>
          <w:p w14:paraId="5C882639" w14:textId="77777777" w:rsidR="00D50907" w:rsidRPr="00B70A7A" w:rsidRDefault="004F5406">
            <w:pPr>
              <w:rPr>
                <w:lang w:val="de-CH"/>
              </w:rPr>
            </w:pPr>
            <w:hyperlink r:id="rId34">
              <w:r w:rsidR="0077608F" w:rsidRPr="00B70A7A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  <w:shd w:val="clear" w:color="auto" w:fill="auto"/>
          </w:tcPr>
          <w:p w14:paraId="6E2F46ED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rFonts w:eastAsia="Arial" w:cs="Arial"/>
                <w:lang w:val="de-CH"/>
              </w:rPr>
              <w:t>pa. Iv. Michaud Gigon. Die Krankenkassenprämien sind dringend einzufrieren</w:t>
            </w:r>
          </w:p>
          <w:p w14:paraId="26C0D35B" w14:textId="77777777" w:rsidR="00D50907" w:rsidRPr="00B70A7A" w:rsidRDefault="0077608F">
            <w:r w:rsidRPr="00B70A7A">
              <w:rPr>
                <w:rFonts w:eastAsia="Arial" w:cs="Arial"/>
                <w:lang w:val="fr-CH"/>
              </w:rPr>
              <w:t>Iv.pa. Michaud Gigon. Un gel des primes maladie s'impose</w:t>
            </w:r>
          </w:p>
          <w:p w14:paraId="4E791B35" w14:textId="77777777" w:rsidR="00D50907" w:rsidRPr="00B70A7A" w:rsidRDefault="0077608F">
            <w:pPr>
              <w:rPr>
                <w:rFonts w:eastAsia="Arial" w:cs="Arial"/>
                <w:lang w:val="it-IT"/>
              </w:rPr>
            </w:pPr>
            <w:r w:rsidRPr="00B70A7A">
              <w:rPr>
                <w:rFonts w:eastAsia="Arial" w:cs="Arial"/>
                <w:lang w:val="it-IT"/>
              </w:rPr>
              <w:t>Iv.pa. Michaud Gigon. Congelare i premi delle casse malati è ormai una necessità</w:t>
            </w:r>
          </w:p>
          <w:p w14:paraId="17158F3B" w14:textId="77777777" w:rsidR="00501866" w:rsidRPr="00B70A7A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shd w:val="clear" w:color="auto" w:fill="auto"/>
          </w:tcPr>
          <w:p w14:paraId="5CC52F80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571BDDAD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12766913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2D18C38B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0D3EFB0C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C570E7C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2D7AFA1E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64786C5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D26831A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079531F9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42094BE6" w14:textId="77777777" w:rsidR="00B70A7A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  <w:p w14:paraId="6D8A90AA" w14:textId="6A304457" w:rsidR="00D50907" w:rsidRPr="00B70A7A" w:rsidRDefault="00B70A7A">
            <w:pPr>
              <w:rPr>
                <w:lang w:val="it-IT"/>
              </w:rPr>
            </w:pPr>
            <w:r w:rsidRPr="00B70A7A">
              <w:rPr>
                <w:lang w:val="it-IT"/>
              </w:rPr>
              <w:t>)</w:t>
            </w:r>
          </w:p>
        </w:tc>
        <w:tc>
          <w:tcPr>
            <w:tcW w:w="617" w:type="pct"/>
            <w:shd w:val="clear" w:color="auto" w:fill="auto"/>
          </w:tcPr>
          <w:p w14:paraId="77DCC7C9" w14:textId="77777777" w:rsidR="00D50907" w:rsidRPr="00B70A7A" w:rsidRDefault="00D50907">
            <w:pPr>
              <w:rPr>
                <w:lang w:val="it-IT"/>
              </w:rPr>
            </w:pPr>
          </w:p>
          <w:p w14:paraId="6BE957F0" w14:textId="77777777" w:rsidR="00501866" w:rsidRPr="00B70A7A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  <w:shd w:val="clear" w:color="auto" w:fill="auto"/>
          </w:tcPr>
          <w:p w14:paraId="71DF7E02" w14:textId="77777777" w:rsidR="00D50907" w:rsidRPr="00B70A7A" w:rsidRDefault="00281E88">
            <w:pPr>
              <w:rPr>
                <w:lang w:val="it-IT"/>
              </w:rPr>
            </w:pPr>
            <w:r w:rsidRPr="00B70A7A">
              <w:rPr>
                <w:lang w:val="it-IT"/>
              </w:rPr>
              <w:t>Aelly, de Courten</w:t>
            </w:r>
          </w:p>
        </w:tc>
        <w:tc>
          <w:tcPr>
            <w:tcW w:w="622" w:type="pct"/>
            <w:shd w:val="clear" w:color="auto" w:fill="auto"/>
          </w:tcPr>
          <w:p w14:paraId="25F1FB41" w14:textId="77777777" w:rsidR="00D50907" w:rsidRPr="00B70A7A" w:rsidRDefault="0077608F">
            <w:pPr>
              <w:rPr>
                <w:lang w:val="it-IT"/>
              </w:rPr>
            </w:pPr>
            <w:r w:rsidRPr="00B70A7A">
              <w:rPr>
                <w:lang w:val="it-IT"/>
              </w:rPr>
              <w:t>Porchet</w:t>
            </w:r>
          </w:p>
        </w:tc>
        <w:tc>
          <w:tcPr>
            <w:tcW w:w="308" w:type="pct"/>
            <w:shd w:val="clear" w:color="auto" w:fill="auto"/>
          </w:tcPr>
          <w:p w14:paraId="4F40AF13" w14:textId="77777777" w:rsidR="00D50907" w:rsidRPr="00B70A7A" w:rsidRDefault="0077608F">
            <w:pPr>
              <w:rPr>
                <w:lang w:val="de-CH"/>
              </w:rPr>
            </w:pPr>
            <w:r w:rsidRPr="00B70A7A">
              <w:rPr>
                <w:lang w:val="it-IT"/>
              </w:rPr>
              <w:t>IV</w:t>
            </w:r>
          </w:p>
        </w:tc>
      </w:tr>
      <w:tr w:rsidR="00D50907" w14:paraId="08270D2B" w14:textId="77777777" w:rsidTr="007A4525">
        <w:trPr>
          <w:trHeight w:val="2257"/>
        </w:trPr>
        <w:tc>
          <w:tcPr>
            <w:tcW w:w="415" w:type="pct"/>
          </w:tcPr>
          <w:p w14:paraId="72737FE0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24.408</w:t>
            </w:r>
          </w:p>
        </w:tc>
        <w:tc>
          <w:tcPr>
            <w:tcW w:w="413" w:type="pct"/>
          </w:tcPr>
          <w:p w14:paraId="53FD9D93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4392EB24" w14:textId="77777777" w:rsidR="00D50907" w:rsidRDefault="004F5406">
            <w:pPr>
              <w:rPr>
                <w:lang w:val="de-CH"/>
              </w:rPr>
            </w:pPr>
            <w:hyperlink r:id="rId35">
              <w:r w:rsidR="0077608F">
                <w:rPr>
                  <w:rStyle w:val="Lienhypertexte"/>
                </w:rPr>
                <w:t>DE</w:t>
              </w:r>
            </w:hyperlink>
          </w:p>
          <w:p w14:paraId="76539CA4" w14:textId="77777777" w:rsidR="00D50907" w:rsidRDefault="004F5406">
            <w:pPr>
              <w:rPr>
                <w:lang w:val="de-CH"/>
              </w:rPr>
            </w:pPr>
            <w:hyperlink r:id="rId36">
              <w:r w:rsidR="0077608F">
                <w:rPr>
                  <w:rStyle w:val="Lienhypertexte"/>
                </w:rPr>
                <w:t>FR</w:t>
              </w:r>
            </w:hyperlink>
          </w:p>
          <w:p w14:paraId="00AD343F" w14:textId="77777777" w:rsidR="00D50907" w:rsidRDefault="004F5406">
            <w:pPr>
              <w:rPr>
                <w:lang w:val="de-CH"/>
              </w:rPr>
            </w:pPr>
            <w:hyperlink r:id="rId37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</w:tcPr>
          <w:p w14:paraId="0FBA0153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Ersatz des Konzepts des Rentenalters durch jenes der Anzahl Beitragsjahre. Ein geeigneter Schritt hin zu einem sozial gerechteren Rentensystem</w:t>
            </w:r>
          </w:p>
          <w:p w14:paraId="6DD1759D" w14:textId="77777777" w:rsidR="00D50907" w:rsidRDefault="0077608F">
            <w:r w:rsidRPr="00281E88">
              <w:rPr>
                <w:rFonts w:eastAsia="Arial" w:cs="Arial"/>
                <w:lang w:val="de-CH"/>
              </w:rPr>
              <w:t xml:space="preserve">Iv.pa. Amaudruz. </w:t>
            </w:r>
            <w:r>
              <w:rPr>
                <w:rFonts w:eastAsia="Arial" w:cs="Arial"/>
                <w:lang w:val="fr-CH"/>
              </w:rPr>
              <w:t>Remplacer la notion d'âge de la retraite par celle d'années de cotisation. Un pas adapté vers une retraite socialement plus juste</w:t>
            </w:r>
          </w:p>
          <w:p w14:paraId="1799F0AD" w14:textId="77777777" w:rsidR="00D50907" w:rsidRDefault="0077608F">
            <w:pPr>
              <w:rPr>
                <w:rFonts w:eastAsia="Arial" w:cs="Arial"/>
                <w:lang w:val="it-IT"/>
              </w:rPr>
            </w:pPr>
            <w:r w:rsidRPr="00281E88">
              <w:rPr>
                <w:rFonts w:eastAsia="Arial" w:cs="Arial"/>
              </w:rPr>
              <w:t xml:space="preserve">Iv.pa. Amaudruz. </w:t>
            </w:r>
            <w:r>
              <w:rPr>
                <w:rFonts w:eastAsia="Arial" w:cs="Arial"/>
                <w:lang w:val="it-IT"/>
              </w:rPr>
              <w:t>Sostituire il concetto di età di pensionamento con quello di anni di contributi. Un giusto passo verso una pensione socialmente più equa</w:t>
            </w:r>
          </w:p>
          <w:p w14:paraId="07B2D69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</w:tcPr>
          <w:p w14:paraId="72E046F5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210F23DC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5CDF7654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7" w:type="pct"/>
          </w:tcPr>
          <w:p w14:paraId="03CB5254" w14:textId="77777777" w:rsidR="00D50907" w:rsidRDefault="00D50907">
            <w:pPr>
              <w:rPr>
                <w:lang w:val="it-IT"/>
              </w:rPr>
            </w:pPr>
          </w:p>
          <w:p w14:paraId="2A2223E1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</w:tcPr>
          <w:p w14:paraId="7AC72D86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Piller Carrard, Mettler</w:t>
            </w:r>
          </w:p>
        </w:tc>
        <w:tc>
          <w:tcPr>
            <w:tcW w:w="622" w:type="pct"/>
          </w:tcPr>
          <w:p w14:paraId="462A7620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308" w:type="pct"/>
          </w:tcPr>
          <w:p w14:paraId="66027A9F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D50907" w14:paraId="1B0D751E" w14:textId="77777777" w:rsidTr="007A4525">
        <w:trPr>
          <w:trHeight w:val="2749"/>
        </w:trPr>
        <w:tc>
          <w:tcPr>
            <w:tcW w:w="415" w:type="pct"/>
          </w:tcPr>
          <w:p w14:paraId="5D30D135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24.411</w:t>
            </w:r>
          </w:p>
        </w:tc>
        <w:tc>
          <w:tcPr>
            <w:tcW w:w="413" w:type="pct"/>
          </w:tcPr>
          <w:p w14:paraId="34D6CD00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2F833E4F" w14:textId="77777777" w:rsidR="00D50907" w:rsidRDefault="004F5406">
            <w:pPr>
              <w:rPr>
                <w:lang w:val="de-CH"/>
              </w:rPr>
            </w:pPr>
            <w:hyperlink r:id="rId38">
              <w:r w:rsidR="0077608F">
                <w:rPr>
                  <w:rStyle w:val="Lienhypertexte"/>
                </w:rPr>
                <w:t>DE</w:t>
              </w:r>
            </w:hyperlink>
          </w:p>
          <w:p w14:paraId="58FA3736" w14:textId="77777777" w:rsidR="00D50907" w:rsidRDefault="004F5406">
            <w:pPr>
              <w:rPr>
                <w:lang w:val="de-CH"/>
              </w:rPr>
            </w:pPr>
            <w:hyperlink r:id="rId39">
              <w:r w:rsidR="0077608F">
                <w:rPr>
                  <w:rStyle w:val="Lienhypertexte"/>
                </w:rPr>
                <w:t>FR</w:t>
              </w:r>
            </w:hyperlink>
          </w:p>
          <w:p w14:paraId="1224FCA5" w14:textId="77777777" w:rsidR="00D50907" w:rsidRDefault="004F5406">
            <w:pPr>
              <w:rPr>
                <w:lang w:val="de-CH"/>
              </w:rPr>
            </w:pPr>
            <w:hyperlink r:id="rId40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</w:tcPr>
          <w:p w14:paraId="2FFCFA3E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Bircher. Mittelstandsfamilien entlasten. Familien- und Ausbildungszulagen von den Steuern befreien</w:t>
            </w:r>
          </w:p>
          <w:p w14:paraId="1718EE20" w14:textId="77777777" w:rsidR="00D50907" w:rsidRDefault="0077608F">
            <w:r>
              <w:rPr>
                <w:rFonts w:eastAsia="Arial" w:cs="Arial"/>
                <w:lang w:val="fr-CH"/>
              </w:rPr>
              <w:t>Iv.pa. Bircher. Alléger la charge des familles de la classe moyenne. Exonérer de l'impôt les allocations familiales et les allocations de formation</w:t>
            </w:r>
          </w:p>
          <w:p w14:paraId="3273EDAF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Bircher. Sgravare le famiglie del ceto medio. Esonerare dall'imposta gli assegni familiari e di formazione</w:t>
            </w:r>
          </w:p>
          <w:p w14:paraId="247224EC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</w:tcPr>
          <w:p w14:paraId="49FF3D1D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5FD85108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08A99566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7" w:type="pct"/>
          </w:tcPr>
          <w:p w14:paraId="6CD51656" w14:textId="77777777" w:rsidR="00D50907" w:rsidRDefault="00D50907">
            <w:pPr>
              <w:rPr>
                <w:lang w:val="it-IT"/>
              </w:rPr>
            </w:pPr>
          </w:p>
          <w:p w14:paraId="45C6C87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</w:tcPr>
          <w:p w14:paraId="76066F4C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Widmer Céline</w:t>
            </w:r>
          </w:p>
        </w:tc>
        <w:tc>
          <w:tcPr>
            <w:tcW w:w="622" w:type="pct"/>
          </w:tcPr>
          <w:p w14:paraId="6FE8BB88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Burgherr</w:t>
            </w:r>
          </w:p>
        </w:tc>
        <w:tc>
          <w:tcPr>
            <w:tcW w:w="308" w:type="pct"/>
          </w:tcPr>
          <w:p w14:paraId="4E6F333C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2ABF088B" w14:textId="0FD87FBA" w:rsidR="008615E3" w:rsidRDefault="008615E3"/>
    <w:p w14:paraId="7FA8BE5C" w14:textId="223C0519" w:rsidR="008615E3" w:rsidRDefault="008615E3"/>
    <w:p w14:paraId="739C52B1" w14:textId="77777777" w:rsidR="008615E3" w:rsidRDefault="008615E3"/>
    <w:tbl>
      <w:tblPr>
        <w:tblStyle w:val="Grilledutableau"/>
        <w:tblW w:w="5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3"/>
        <w:gridCol w:w="522"/>
        <w:gridCol w:w="2190"/>
        <w:gridCol w:w="1432"/>
        <w:gridCol w:w="1244"/>
        <w:gridCol w:w="1149"/>
        <w:gridCol w:w="1254"/>
        <w:gridCol w:w="621"/>
      </w:tblGrid>
      <w:tr w:rsidR="00D50907" w14:paraId="6436D252" w14:textId="77777777" w:rsidTr="007A4525">
        <w:trPr>
          <w:trHeight w:val="2749"/>
        </w:trPr>
        <w:tc>
          <w:tcPr>
            <w:tcW w:w="415" w:type="pct"/>
          </w:tcPr>
          <w:p w14:paraId="6E52BE16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24.416</w:t>
            </w:r>
          </w:p>
        </w:tc>
        <w:tc>
          <w:tcPr>
            <w:tcW w:w="413" w:type="pct"/>
          </w:tcPr>
          <w:p w14:paraId="7753490D" w14:textId="77777777" w:rsidR="00D50907" w:rsidRDefault="0077608F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512669B0" w14:textId="77777777" w:rsidR="00D50907" w:rsidRDefault="004F5406">
            <w:pPr>
              <w:rPr>
                <w:lang w:val="de-CH"/>
              </w:rPr>
            </w:pPr>
            <w:hyperlink r:id="rId41">
              <w:r w:rsidR="0077608F">
                <w:rPr>
                  <w:rStyle w:val="Lienhypertexte"/>
                </w:rPr>
                <w:t>DE</w:t>
              </w:r>
            </w:hyperlink>
          </w:p>
          <w:p w14:paraId="49B1696B" w14:textId="77777777" w:rsidR="00D50907" w:rsidRDefault="004F5406">
            <w:pPr>
              <w:rPr>
                <w:lang w:val="de-CH"/>
              </w:rPr>
            </w:pPr>
            <w:hyperlink r:id="rId42">
              <w:r w:rsidR="0077608F">
                <w:rPr>
                  <w:rStyle w:val="Lienhypertexte"/>
                </w:rPr>
                <w:t>FR</w:t>
              </w:r>
            </w:hyperlink>
          </w:p>
          <w:p w14:paraId="3625F79A" w14:textId="77777777" w:rsidR="00D50907" w:rsidRDefault="004F5406">
            <w:pPr>
              <w:rPr>
                <w:lang w:val="de-CH"/>
              </w:rPr>
            </w:pPr>
            <w:hyperlink r:id="rId43">
              <w:r w:rsidR="0077608F">
                <w:rPr>
                  <w:rStyle w:val="Lienhypertexte"/>
                </w:rPr>
                <w:t>IT</w:t>
              </w:r>
            </w:hyperlink>
          </w:p>
        </w:tc>
        <w:tc>
          <w:tcPr>
            <w:tcW w:w="1086" w:type="pct"/>
          </w:tcPr>
          <w:p w14:paraId="69989E98" w14:textId="77777777" w:rsidR="00D50907" w:rsidRDefault="0077608F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Müller-Altermatt. Keine Finanzierung von Kriegen durch ausländisch beherrschte Schweizer Firmen</w:t>
            </w:r>
          </w:p>
          <w:p w14:paraId="1F090A48" w14:textId="77777777" w:rsidR="00D50907" w:rsidRDefault="0077608F">
            <w:r>
              <w:rPr>
                <w:rFonts w:eastAsia="Arial" w:cs="Arial"/>
                <w:lang w:val="fr-CH"/>
              </w:rPr>
              <w:t>Iv.pa. Müller-Altermatt. Empêcher que des entreprises suisses sous domination étrangère financent des guerres</w:t>
            </w:r>
          </w:p>
          <w:p w14:paraId="38DC3690" w14:textId="77777777" w:rsidR="00D50907" w:rsidRDefault="0077608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Müller-Altermatt. Nessun finanziamento di guerre da parte di ditte svizzere a controllo estero</w:t>
            </w:r>
          </w:p>
          <w:p w14:paraId="7325F3F2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</w:tcPr>
          <w:p w14:paraId="120C8F9D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06EE47E4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7E489EBC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7" w:type="pct"/>
          </w:tcPr>
          <w:p w14:paraId="42FE993E" w14:textId="77777777" w:rsidR="00D50907" w:rsidRDefault="00D50907">
            <w:pPr>
              <w:rPr>
                <w:lang w:val="it-IT"/>
              </w:rPr>
            </w:pPr>
          </w:p>
          <w:p w14:paraId="3C49BE9C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70" w:type="pct"/>
          </w:tcPr>
          <w:p w14:paraId="74222D67" w14:textId="77777777" w:rsidR="00D50907" w:rsidRDefault="00281E88">
            <w:pPr>
              <w:rPr>
                <w:lang w:val="it-IT"/>
              </w:rPr>
            </w:pPr>
            <w:r>
              <w:rPr>
                <w:lang w:val="it-IT"/>
              </w:rPr>
              <w:t>Gianini, Addor</w:t>
            </w:r>
          </w:p>
        </w:tc>
        <w:tc>
          <w:tcPr>
            <w:tcW w:w="622" w:type="pct"/>
          </w:tcPr>
          <w:p w14:paraId="5E34B43D" w14:textId="77777777" w:rsidR="00D50907" w:rsidRDefault="0077608F">
            <w:pPr>
              <w:rPr>
                <w:lang w:val="it-IT"/>
              </w:rPr>
            </w:pPr>
            <w:r>
              <w:rPr>
                <w:lang w:val="it-IT"/>
              </w:rPr>
              <w:t>Docourt</w:t>
            </w:r>
          </w:p>
        </w:tc>
        <w:tc>
          <w:tcPr>
            <w:tcW w:w="308" w:type="pct"/>
          </w:tcPr>
          <w:p w14:paraId="26F370B0" w14:textId="77777777" w:rsidR="00D50907" w:rsidRDefault="0077608F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32F0E8AB" w14:textId="672A3554" w:rsidR="003075E4" w:rsidRDefault="003075E4"/>
    <w:sectPr w:rsidR="003075E4" w:rsidSect="0021778D">
      <w:headerReference w:type="even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900B" w14:textId="77777777" w:rsidR="0077608F" w:rsidRDefault="0077608F" w:rsidP="00BD4CDA">
      <w:r>
        <w:separator/>
      </w:r>
    </w:p>
  </w:endnote>
  <w:endnote w:type="continuationSeparator" w:id="0">
    <w:p w14:paraId="012FD2D6" w14:textId="77777777" w:rsidR="0077608F" w:rsidRDefault="0077608F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A20B" w14:textId="13D34DCD" w:rsidR="00676153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F540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F5406" w:rsidRPr="004F5406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C7EA" w14:textId="77777777" w:rsidR="00106006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57C04F06" w14:textId="77777777" w:rsidR="00106006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07A46C21" w14:textId="783A80B9" w:rsidR="00676153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77692A0C" w14:textId="60985E57" w:rsidR="004F5406" w:rsidRDefault="004F5406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2645D4ED" w14:textId="77777777" w:rsidR="004F5406" w:rsidRDefault="004F5406" w:rsidP="004F5406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06812F6" w14:textId="77777777" w:rsidR="004F5406" w:rsidRPr="00106006" w:rsidRDefault="004F5406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E463" w14:textId="77777777" w:rsidR="0077608F" w:rsidRDefault="0077608F" w:rsidP="00BD4CDA">
      <w:r>
        <w:separator/>
      </w:r>
    </w:p>
  </w:footnote>
  <w:footnote w:type="continuationSeparator" w:id="0">
    <w:p w14:paraId="074A7EDD" w14:textId="77777777" w:rsidR="0077608F" w:rsidRDefault="0077608F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9C56" w14:textId="77777777" w:rsidR="00676153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0EB56CE" w14:textId="77777777" w:rsidR="00676153" w:rsidRDefault="004F5406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D50907" w:rsidRPr="004F5406" w14:paraId="4D505FC4" w14:textId="77777777">
      <w:tc>
        <w:tcPr>
          <w:tcW w:w="6096" w:type="dxa"/>
          <w:gridSpan w:val="3"/>
        </w:tcPr>
        <w:p w14:paraId="6D571205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405B2D8C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4EF24B6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5600D37" w14:textId="77777777" w:rsidR="00106006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0E7F28A" w14:textId="77777777" w:rsidR="00106006" w:rsidRPr="00054832" w:rsidRDefault="004F5406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D50907" w14:paraId="19EDEB7A" w14:textId="77777777">
      <w:tc>
        <w:tcPr>
          <w:tcW w:w="993" w:type="dxa"/>
        </w:tcPr>
        <w:p w14:paraId="1F76AE8F" w14:textId="77777777" w:rsidR="00106006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7135AF3" w14:textId="77777777" w:rsidR="00106006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94DC31" w14:textId="77777777" w:rsidR="00106006" w:rsidRPr="00556ED8" w:rsidRDefault="004F5406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65D01B51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7BB4D241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2F31407" w14:textId="77777777" w:rsidR="00106006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25439AB" w14:textId="77777777" w:rsidR="00106006" w:rsidRPr="00556ED8" w:rsidRDefault="004F5406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143528E5" w14:textId="77777777" w:rsidR="00106006" w:rsidRDefault="00623E22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66E8F83" w14:textId="77777777" w:rsidR="00106006" w:rsidRPr="00B726E4" w:rsidRDefault="004F5406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6A8488E0" w14:textId="77777777" w:rsidR="00D50907" w:rsidRDefault="0077608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2024</w:t>
          </w:r>
        </w:p>
        <w:p w14:paraId="7983F5FA" w14:textId="77777777" w:rsidR="00D50907" w:rsidRDefault="0077608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2024</w:t>
          </w:r>
        </w:p>
        <w:p w14:paraId="56807AA5" w14:textId="77777777" w:rsidR="00D50907" w:rsidRDefault="0077608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576F7180" w14:textId="77777777" w:rsidR="00676153" w:rsidRPr="00106006" w:rsidRDefault="004F5406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45A97"/>
    <w:rsid w:val="00281E88"/>
    <w:rsid w:val="00295431"/>
    <w:rsid w:val="003075E4"/>
    <w:rsid w:val="003F3308"/>
    <w:rsid w:val="004F5406"/>
    <w:rsid w:val="00501866"/>
    <w:rsid w:val="00623E22"/>
    <w:rsid w:val="006908FE"/>
    <w:rsid w:val="006E5157"/>
    <w:rsid w:val="00773A0E"/>
    <w:rsid w:val="0077608F"/>
    <w:rsid w:val="007A4525"/>
    <w:rsid w:val="008615E3"/>
    <w:rsid w:val="00865A6C"/>
    <w:rsid w:val="008817FE"/>
    <w:rsid w:val="00B70A7A"/>
    <w:rsid w:val="00BD4CDA"/>
    <w:rsid w:val="00C014EB"/>
    <w:rsid w:val="00D50907"/>
    <w:rsid w:val="00F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3C1BFD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14F6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4F6"/>
    <w:rPr>
      <w:rFonts w:ascii="Segoe UI" w:eastAsia="Times New Roman" w:hAnsi="Segoe UI" w:cs="Segoe UI"/>
      <w:kern w:val="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30425" TargetMode="External"/><Relationship Id="rId18" Type="http://schemas.openxmlformats.org/officeDocument/2006/relationships/hyperlink" Target="https://www.parlament.ch/fr/ratsbetrieb/suche-curia-vista/geschaeft?AffairId=20230438" TargetMode="External"/><Relationship Id="rId26" Type="http://schemas.openxmlformats.org/officeDocument/2006/relationships/hyperlink" Target="https://www.parlament.ch/de/ratsbetrieb/suche-curia-vista/geschaeft?AffairId=20230454" TargetMode="External"/><Relationship Id="rId39" Type="http://schemas.openxmlformats.org/officeDocument/2006/relationships/hyperlink" Target="https://www.parlament.ch/fr/ratsbetrieb/suche-curia-vista/geschaeft?AffairId=202404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30441" TargetMode="External"/><Relationship Id="rId34" Type="http://schemas.openxmlformats.org/officeDocument/2006/relationships/hyperlink" Target="https://www.parlament.ch/it/ratsbetrieb/suche-curia-vista/geschaeft?AffairId=20230466" TargetMode="External"/><Relationship Id="rId42" Type="http://schemas.openxmlformats.org/officeDocument/2006/relationships/hyperlink" Target="https://www.parlament.ch/fr/ratsbetrieb/suche-curia-vista/geschaeft?AffairId=20240416" TargetMode="External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30425" TargetMode="External"/><Relationship Id="rId17" Type="http://schemas.openxmlformats.org/officeDocument/2006/relationships/hyperlink" Target="https://www.parlament.ch/de/ratsbetrieb/suche-curia-vista/geschaeft?AffairId=20230438" TargetMode="External"/><Relationship Id="rId25" Type="http://schemas.openxmlformats.org/officeDocument/2006/relationships/hyperlink" Target="https://www.parlament.ch/it/ratsbetrieb/suche-curia-vista/geschaeft?AffairId=20230447" TargetMode="External"/><Relationship Id="rId33" Type="http://schemas.openxmlformats.org/officeDocument/2006/relationships/hyperlink" Target="https://www.parlament.ch/fr/ratsbetrieb/suche-curia-vista/geschaeft?AffairId=20230466" TargetMode="External"/><Relationship Id="rId38" Type="http://schemas.openxmlformats.org/officeDocument/2006/relationships/hyperlink" Target="https://www.parlament.ch/de/ratsbetrieb/suche-curia-vista/geschaeft?AffairId=20240411" TargetMode="External"/><Relationship Id="rId46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30437" TargetMode="External"/><Relationship Id="rId20" Type="http://schemas.openxmlformats.org/officeDocument/2006/relationships/hyperlink" Target="https://www.parlament.ch/de/ratsbetrieb/suche-curia-vista/geschaeft?AffairId=20230441" TargetMode="External"/><Relationship Id="rId29" Type="http://schemas.openxmlformats.org/officeDocument/2006/relationships/hyperlink" Target="https://www.parlament.ch/de/ratsbetrieb/suche-curia-vista/geschaeft?AffairId=20230459" TargetMode="External"/><Relationship Id="rId41" Type="http://schemas.openxmlformats.org/officeDocument/2006/relationships/hyperlink" Target="https://www.parlament.ch/de/ratsbetrieb/suche-curia-vista/geschaeft?AffairId=202404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30425" TargetMode="External"/><Relationship Id="rId24" Type="http://schemas.openxmlformats.org/officeDocument/2006/relationships/hyperlink" Target="https://www.parlament.ch/fr/ratsbetrieb/suche-curia-vista/geschaeft?AffairId=20230447" TargetMode="External"/><Relationship Id="rId32" Type="http://schemas.openxmlformats.org/officeDocument/2006/relationships/hyperlink" Target="https://www.parlament.ch/de/ratsbetrieb/suche-curia-vista/geschaeft?AffairId=20230466" TargetMode="External"/><Relationship Id="rId37" Type="http://schemas.openxmlformats.org/officeDocument/2006/relationships/hyperlink" Target="https://www.parlament.ch/it/ratsbetrieb/suche-curia-vista/geschaeft?AffairId=20240408" TargetMode="External"/><Relationship Id="rId40" Type="http://schemas.openxmlformats.org/officeDocument/2006/relationships/hyperlink" Target="https://www.parlament.ch/it/ratsbetrieb/suche-curia-vista/geschaeft?AffairId=20240411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30437" TargetMode="External"/><Relationship Id="rId23" Type="http://schemas.openxmlformats.org/officeDocument/2006/relationships/hyperlink" Target="https://www.parlament.ch/de/ratsbetrieb/suche-curia-vista/geschaeft?AffairId=20230447" TargetMode="External"/><Relationship Id="rId28" Type="http://schemas.openxmlformats.org/officeDocument/2006/relationships/hyperlink" Target="https://www.parlament.ch/it/ratsbetrieb/suche-curia-vista/geschaeft?AffairId=20230454" TargetMode="External"/><Relationship Id="rId36" Type="http://schemas.openxmlformats.org/officeDocument/2006/relationships/hyperlink" Target="https://www.parlament.ch/fr/ratsbetrieb/suche-curia-vista/geschaeft?AffairId=20240408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30438" TargetMode="External"/><Relationship Id="rId31" Type="http://schemas.openxmlformats.org/officeDocument/2006/relationships/hyperlink" Target="https://www.parlament.ch/it/ratsbetrieb/suche-curia-vista/geschaeft?AffairId=20230459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30437" TargetMode="External"/><Relationship Id="rId22" Type="http://schemas.openxmlformats.org/officeDocument/2006/relationships/hyperlink" Target="https://www.parlament.ch/it/ratsbetrieb/suche-curia-vista/geschaeft?AffairId=20230441" TargetMode="External"/><Relationship Id="rId27" Type="http://schemas.openxmlformats.org/officeDocument/2006/relationships/hyperlink" Target="https://www.parlament.ch/fr/ratsbetrieb/suche-curia-vista/geschaeft?AffairId=20230454" TargetMode="External"/><Relationship Id="rId30" Type="http://schemas.openxmlformats.org/officeDocument/2006/relationships/hyperlink" Target="https://www.parlament.ch/fr/ratsbetrieb/suche-curia-vista/geschaeft?AffairId=20230459" TargetMode="External"/><Relationship Id="rId35" Type="http://schemas.openxmlformats.org/officeDocument/2006/relationships/hyperlink" Target="https://www.parlament.ch/de/ratsbetrieb/suche-curia-vista/geschaeft?AffairId=20240408" TargetMode="External"/><Relationship Id="rId43" Type="http://schemas.openxmlformats.org/officeDocument/2006/relationships/hyperlink" Target="https://www.parlament.ch/it/ratsbetrieb/suche-curia-vista/geschaeft?AffairId=20240416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8729668FE2B7F4582F9848807CD48B5" ma:contentTypeVersion="13" ma:contentTypeDescription="Create a new document." ma:contentTypeScope="" ma:versionID="3c8b96b7c15f66d305083e1d6c4a620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 PARL INT</Autor>
    <e-parl xmlns="673932bc-7c50-4e93-afe1-7c692330eb19">true</e-parl>
    <Teildossier xmlns="673932bc-7c50-4e93-afe1-7c692330eb19">2024 III N</Teildossier>
    <Dokumentendatum xmlns="673932bc-7c50-4e93-afe1-7c692330eb19">2024-08-21T22:00:00+00:00</Dokumentendatum>
    <Anzeigesprachen xmlns="673932bc-7c50-4e93-afe1-7c692330eb19"/>
    <Aktenzeichen xmlns="673932bc-7c50-4e93-afe1-7c692330eb19">203/2024 III/Programme--Programmes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8147-8B1B-4B3F-9B3B-5CCB368D8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CBD63-E119-4BB1-8C6D-F42B1B6938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1D7325-C0FE-47F5-85E8-BDEAB5E31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2F19F-2D5C-440B-A9D4-E6E8F251FF87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5BD7F4-5156-4E7E-A88A-4D51CC37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7486</Characters>
  <Application>Microsoft Office Word</Application>
  <DocSecurity>0</DocSecurity>
  <Lines>394</Lines>
  <Paragraphs>228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Parlamentarische Initiativen 1. Phase Nationalrat--Initiatives parlementaires, 1ère phase Conseil national--Iniziative parlamentari, 1a fase Consiglio nazionale</vt:lpstr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13</cp:revision>
  <cp:lastPrinted>2024-08-23T10:38:00Z</cp:lastPrinted>
  <dcterms:created xsi:type="dcterms:W3CDTF">2023-05-30T11:11:00Z</dcterms:created>
  <dcterms:modified xsi:type="dcterms:W3CDTF">2024-09-09T16:41:00Z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0x0101006F7700D8DF1953488F58F32AB4E7CBB30100F8729668FE2B7F4582F9848807CD48B5</vt:lpwstr>
  </property>
</Properties>
</file>